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50"/>
        <w:jc w:val="center"/>
      </w:pPr>
      <w:r>
        <w:rPr>
          <w:rFonts w:ascii="Noto Sans CJK SC" w:hAnsi="Noto Sans CJK SC" w:eastAsia="Noto Sans CJK SC"/>
          <w:b/>
          <w:color w:val="B28B4A"/>
          <w:sz w:val="26"/>
        </w:rPr>
        <w:t>陈辉律师股权法律工具箱</w:t>
      </w:r>
    </w:p>
    <w:p>
      <w:pPr>
        <w:spacing w:before="454"/>
        <w:jc w:val="center"/>
      </w:pPr>
      <w:r>
        <w:rPr>
          <w:rFonts w:ascii="Noto Sans CJK SC" w:hAnsi="Noto Sans CJK SC" w:eastAsia="Noto Sans CJK SC"/>
          <w:b/>
          <w:color w:val="17324D"/>
          <w:sz w:val="50"/>
        </w:rPr>
        <w:t>公司章程条款风险清单</w:t>
      </w:r>
    </w:p>
    <w:p>
      <w:pPr>
        <w:jc w:val="center"/>
      </w:pPr>
      <w:r>
        <w:rPr>
          <w:rFonts w:ascii="Noto Sans CJK SC" w:hAnsi="Noto Sans CJK SC" w:eastAsia="Noto Sans CJK SC"/>
          <w:color w:val="2F5D7C"/>
          <w:sz w:val="24"/>
        </w:rPr>
        <w:t>35项核心条款：让股东协议中的约定进入公司的执行通道</w:t>
      </w:r>
    </w:p>
    <w:p>
      <w:pPr>
        <w:spacing w:before="510"/>
        <w:jc w:val="center"/>
      </w:pPr>
      <w:r>
        <w:rPr>
          <w:rFonts w:ascii="Noto Sans CJK SC" w:hAnsi="Noto Sans CJK SC" w:eastAsia="Noto Sans CJK SC"/>
          <w:color w:val="666666"/>
          <w:sz w:val="18"/>
        </w:rPr>
        <w:t>工具编号：EQ-05    版本：2026年7月</w:t>
      </w:r>
    </w:p>
    <w:p>
      <w:pPr>
        <w:spacing w:before="567"/>
        <w:jc w:val="center"/>
      </w:pPr>
      <w:r>
        <w:rPr>
          <w:rFonts w:ascii="Noto Sans CJK SC" w:hAnsi="Noto Sans CJK SC" w:eastAsia="Noto Sans CJK SC"/>
          <w:color w:val="17324D"/>
          <w:sz w:val="20"/>
        </w:rPr>
        <w:t>企业名称：____________________________    填写人：____________    日期：____________</w:t>
      </w:r>
    </w:p>
    <w:tbl>
      <w:tblPr>
        <w:tblW w:type="auto" w:w="0"/>
        <w:jc w:val="center"/>
        <w:tblLayout w:type="fixed"/>
        <w:tblLook w:firstColumn="1" w:firstRow="1" w:lastColumn="0" w:lastRow="0" w:noHBand="0" w:noVBand="1" w:val="04A0"/>
      </w:tblPr>
      <w:tblGrid>
        <w:gridCol w:w="15194"/>
      </w:tblGrid>
      <w:tr>
        <w:tc>
          <w:tcPr>
            <w:tcW w:type="dxa" w:w="12474"/>
            <w:shd w:fill="EAF1F6"/>
            <w:vAlign w:val="center"/>
          </w:tcPr>
          <w:p>
            <w:pPr>
              <w:spacing w:after="0" w:before="0"/>
            </w:pPr>
            <w:r/>
            <w:r>
              <w:rPr>
                <w:rFonts w:ascii="Noto Sans CJK SC" w:hAnsi="Noto Sans CJK SC" w:eastAsia="Noto Sans CJK SC"/>
                <w:b w:val="0"/>
                <w:color w:val="17324D"/>
                <w:sz w:val="19"/>
              </w:rPr>
              <w:t>使用提示：请以公司当前实际情况填写，不要按“希望达到的状态”作答。存在重大股东矛盾、融资交易或诉讼时，应结合章程、协议、工商档案、出资、财务及证据材料进行专项判断。</w:t>
            </w:r>
          </w:p>
        </w:tc>
      </w:tr>
    </w:tbl>
    <w:p>
      <w:r>
        <w:br w:type="page"/>
      </w:r>
    </w:p>
    <w:p>
      <w:pPr>
        <w:pStyle w:val="Heading1"/>
      </w:pPr>
      <w:r>
        <w:t>一、工具用途</w:t>
      </w:r>
    </w:p>
    <w:p>
      <w:r>
        <w:t>用于审查企业现有章程是否仍停留在工商模板层面，重点检查出资、表决、董事会、法定代表人、分红、知情、转让、退出、僵局及文件衔接等35项条款。</w:t>
      </w:r>
    </w:p>
    <w:p>
      <w:pPr>
        <w:pStyle w:val="Heading1"/>
      </w:pPr>
      <w:r>
        <w:t>二、填写方法</w:t>
      </w:r>
    </w:p>
    <w:p>
      <w:pPr>
        <w:ind w:left="113"/>
      </w:pPr>
      <w:r>
        <w:rPr>
          <w:rFonts w:ascii="Noto Sans CJK SC" w:hAnsi="Noto Sans CJK SC" w:eastAsia="Noto Sans CJK SC"/>
          <w:sz w:val="20"/>
        </w:rPr>
        <w:t>1. 由企业负责人、财务负责人和法律顾问根据现有文件及实际执行情况共同填写。</w:t>
      </w:r>
    </w:p>
    <w:p>
      <w:pPr>
        <w:ind w:left="113"/>
      </w:pPr>
      <w:r>
        <w:rPr>
          <w:rFonts w:ascii="Noto Sans CJK SC" w:hAnsi="Noto Sans CJK SC" w:eastAsia="Noto Sans CJK SC"/>
          <w:sz w:val="20"/>
        </w:rPr>
        <w:t>2. 状态口径：已完善=内容适配且实际执行；需修改=已有条款但不完整或冲突；缺失=无明确规则；不适用=经评估确无该场景。</w:t>
      </w:r>
    </w:p>
    <w:p>
      <w:pPr>
        <w:ind w:left="113"/>
      </w:pPr>
      <w:r>
        <w:rPr>
          <w:rFonts w:ascii="Noto Sans CJK SC" w:hAnsi="Noto Sans CJK SC" w:eastAsia="Noto Sans CJK SC"/>
          <w:sz w:val="20"/>
        </w:rPr>
        <w:t>3. “缺失”或“高风险”不代表当然违法，但表示该事项缺少适配企业实际情况的规则或证据。</w:t>
      </w:r>
    </w:p>
    <w:p>
      <w:pPr>
        <w:ind w:left="113"/>
      </w:pPr>
      <w:r>
        <w:rPr>
          <w:rFonts w:ascii="Noto Sans CJK SC" w:hAnsi="Noto Sans CJK SC" w:eastAsia="Noto Sans CJK SC"/>
          <w:sz w:val="20"/>
        </w:rPr>
        <w:t>4. 整改时应同步处理章程、协议、决议、制度、工商登记和实际执行，避免文件之间相互冲突。</w:t>
      </w:r>
    </w:p>
    <w:p>
      <w:pPr>
        <w:pStyle w:val="Heading1"/>
      </w:pPr>
      <w:r>
        <w:t>四、企业基础信息</w:t>
      </w:r>
    </w:p>
    <w:tbl>
      <w:tblPr>
        <w:tblStyle w:val="TableGrid"/>
        <w:tblW w:type="auto" w:w="0"/>
        <w:jc w:val="center"/>
        <w:tblLayout w:type="fixed"/>
        <w:tblLook w:firstColumn="1" w:firstRow="1" w:lastColumn="0" w:lastRow="0" w:noHBand="0" w:noVBand="1" w:val="04A0"/>
      </w:tblPr>
      <w:tblGrid>
        <w:gridCol w:w="3798"/>
        <w:gridCol w:w="3798"/>
        <w:gridCol w:w="3798"/>
        <w:gridCol w:w="3798"/>
      </w:tblGrid>
      <w:tr>
        <w:tc>
          <w:tcPr>
            <w:tcW w:type="dxa" w:w="1701"/>
            <w:shd w:fill="EAF1F6"/>
            <w:vAlign w:val="center"/>
          </w:tcPr>
          <w:p>
            <w:pPr>
              <w:spacing w:after="0" w:before="0"/>
            </w:pPr>
            <w:r/>
            <w:r>
              <w:rPr>
                <w:rFonts w:ascii="Noto Sans CJK SC" w:hAnsi="Noto Sans CJK SC" w:eastAsia="Noto Sans CJK SC"/>
                <w:b/>
                <w:color w:val="17324D"/>
                <w:sz w:val="17"/>
              </w:rPr>
              <w:t>企业名称</w:t>
            </w:r>
          </w:p>
        </w:tc>
        <w:tc>
          <w:tcPr>
            <w:tcW w:type="dxa" w:w="5103"/>
            <w:vAlign w:val="center"/>
          </w:tcPr>
          <w:p>
            <w:pPr>
              <w:spacing w:after="0" w:before="0"/>
            </w:pPr>
            <w:r/>
            <w:r>
              <w:rPr>
                <w:rFonts w:ascii="Noto Sans CJK SC" w:hAnsi="Noto Sans CJK SC" w:eastAsia="Noto Sans CJK SC"/>
                <w:b w:val="0"/>
                <w:color w:val="000000"/>
                <w:sz w:val="17"/>
              </w:rPr>
            </w:r>
          </w:p>
        </w:tc>
        <w:tc>
          <w:tcPr>
            <w:tcW w:type="dxa" w:w="1701"/>
            <w:shd w:fill="EAF1F6"/>
            <w:vAlign w:val="center"/>
          </w:tcPr>
          <w:p>
            <w:pPr>
              <w:spacing w:after="0" w:before="0"/>
            </w:pPr>
            <w:r/>
            <w:r>
              <w:rPr>
                <w:rFonts w:ascii="Noto Sans CJK SC" w:hAnsi="Noto Sans CJK SC" w:eastAsia="Noto Sans CJK SC"/>
                <w:b/>
                <w:color w:val="17324D"/>
                <w:sz w:val="17"/>
              </w:rPr>
              <w:t>成立时间</w:t>
            </w:r>
          </w:p>
        </w:tc>
        <w:tc>
          <w:tcPr>
            <w:tcW w:type="dxa" w:w="5103"/>
            <w:vAlign w:val="center"/>
          </w:tcPr>
          <w:p>
            <w:pPr>
              <w:spacing w:after="0" w:before="0"/>
            </w:pPr>
            <w:r/>
            <w:r>
              <w:rPr>
                <w:rFonts w:ascii="Noto Sans CJK SC" w:hAnsi="Noto Sans CJK SC" w:eastAsia="Noto Sans CJK SC"/>
                <w:b w:val="0"/>
                <w:color w:val="000000"/>
                <w:sz w:val="17"/>
              </w:rPr>
            </w:r>
          </w:p>
        </w:tc>
      </w:tr>
      <w:tr>
        <w:tc>
          <w:tcPr>
            <w:tcW w:type="dxa" w:w="1701"/>
            <w:shd w:fill="EAF1F6"/>
            <w:vAlign w:val="center"/>
          </w:tcPr>
          <w:p>
            <w:pPr>
              <w:spacing w:after="0" w:before="0"/>
            </w:pPr>
            <w:r/>
            <w:r>
              <w:rPr>
                <w:rFonts w:ascii="Noto Sans CJK SC" w:hAnsi="Noto Sans CJK SC" w:eastAsia="Noto Sans CJK SC"/>
                <w:b/>
                <w:color w:val="17324D"/>
                <w:sz w:val="17"/>
              </w:rPr>
              <w:t>主营业务</w:t>
            </w:r>
          </w:p>
        </w:tc>
        <w:tc>
          <w:tcPr>
            <w:tcW w:type="dxa" w:w="5103"/>
            <w:vAlign w:val="center"/>
          </w:tcPr>
          <w:p>
            <w:pPr>
              <w:spacing w:after="0" w:before="0"/>
            </w:pPr>
            <w:r/>
            <w:r>
              <w:rPr>
                <w:rFonts w:ascii="Noto Sans CJK SC" w:hAnsi="Noto Sans CJK SC" w:eastAsia="Noto Sans CJK SC"/>
                <w:b w:val="0"/>
                <w:color w:val="000000"/>
                <w:sz w:val="17"/>
              </w:rPr>
            </w:r>
          </w:p>
        </w:tc>
        <w:tc>
          <w:tcPr>
            <w:tcW w:type="dxa" w:w="1701"/>
            <w:shd w:fill="EAF1F6"/>
            <w:vAlign w:val="center"/>
          </w:tcPr>
          <w:p>
            <w:pPr>
              <w:spacing w:after="0" w:before="0"/>
            </w:pPr>
            <w:r/>
            <w:r>
              <w:rPr>
                <w:rFonts w:ascii="Noto Sans CJK SC" w:hAnsi="Noto Sans CJK SC" w:eastAsia="Noto Sans CJK SC"/>
                <w:b/>
                <w:color w:val="17324D"/>
                <w:sz w:val="17"/>
              </w:rPr>
              <w:t>发展阶段</w:t>
            </w:r>
          </w:p>
        </w:tc>
        <w:tc>
          <w:tcPr>
            <w:tcW w:type="dxa" w:w="5103"/>
            <w:vAlign w:val="center"/>
          </w:tcPr>
          <w:p>
            <w:pPr>
              <w:spacing w:after="0" w:before="0"/>
            </w:pPr>
            <w:r/>
            <w:r>
              <w:rPr>
                <w:rFonts w:ascii="Noto Sans CJK SC" w:hAnsi="Noto Sans CJK SC" w:eastAsia="Noto Sans CJK SC"/>
                <w:b w:val="0"/>
                <w:color w:val="000000"/>
                <w:sz w:val="17"/>
              </w:rPr>
              <w:t>□设立期  □成长期  □融资期  □成熟期</w:t>
            </w:r>
          </w:p>
        </w:tc>
      </w:tr>
      <w:tr>
        <w:tc>
          <w:tcPr>
            <w:tcW w:type="dxa" w:w="1701"/>
            <w:shd w:fill="EAF1F6"/>
            <w:vAlign w:val="center"/>
          </w:tcPr>
          <w:p>
            <w:pPr>
              <w:spacing w:after="0" w:before="0"/>
            </w:pPr>
            <w:r/>
            <w:r>
              <w:rPr>
                <w:rFonts w:ascii="Noto Sans CJK SC" w:hAnsi="Noto Sans CJK SC" w:eastAsia="Noto Sans CJK SC"/>
                <w:b/>
                <w:color w:val="17324D"/>
                <w:sz w:val="17"/>
              </w:rPr>
              <w:t>股东人数</w:t>
            </w:r>
          </w:p>
        </w:tc>
        <w:tc>
          <w:tcPr>
            <w:tcW w:type="dxa" w:w="5103"/>
            <w:vAlign w:val="center"/>
          </w:tcPr>
          <w:p>
            <w:pPr>
              <w:spacing w:after="0" w:before="0"/>
            </w:pPr>
            <w:r/>
            <w:r>
              <w:rPr>
                <w:rFonts w:ascii="Noto Sans CJK SC" w:hAnsi="Noto Sans CJK SC" w:eastAsia="Noto Sans CJK SC"/>
                <w:b w:val="0"/>
                <w:color w:val="000000"/>
                <w:sz w:val="17"/>
              </w:rPr>
            </w:r>
          </w:p>
        </w:tc>
        <w:tc>
          <w:tcPr>
            <w:tcW w:type="dxa" w:w="1701"/>
            <w:shd w:fill="EAF1F6"/>
            <w:vAlign w:val="center"/>
          </w:tcPr>
          <w:p>
            <w:pPr>
              <w:spacing w:after="0" w:before="0"/>
            </w:pPr>
            <w:r/>
            <w:r>
              <w:rPr>
                <w:rFonts w:ascii="Noto Sans CJK SC" w:hAnsi="Noto Sans CJK SC" w:eastAsia="Noto Sans CJK SC"/>
                <w:b/>
                <w:color w:val="17324D"/>
                <w:sz w:val="17"/>
              </w:rPr>
              <w:t>实际控制人</w:t>
            </w:r>
          </w:p>
        </w:tc>
        <w:tc>
          <w:tcPr>
            <w:tcW w:type="dxa" w:w="5103"/>
            <w:vAlign w:val="center"/>
          </w:tcPr>
          <w:p>
            <w:pPr>
              <w:spacing w:after="0" w:before="0"/>
            </w:pPr>
            <w:r/>
            <w:r>
              <w:rPr>
                <w:rFonts w:ascii="Noto Sans CJK SC" w:hAnsi="Noto Sans CJK SC" w:eastAsia="Noto Sans CJK SC"/>
                <w:b w:val="0"/>
                <w:color w:val="000000"/>
                <w:sz w:val="17"/>
              </w:rPr>
            </w:r>
          </w:p>
        </w:tc>
      </w:tr>
      <w:tr>
        <w:tc>
          <w:tcPr>
            <w:tcW w:type="dxa" w:w="1701"/>
            <w:shd w:fill="EAF1F6"/>
            <w:vAlign w:val="center"/>
          </w:tcPr>
          <w:p>
            <w:pPr>
              <w:spacing w:after="0" w:before="0"/>
            </w:pPr>
            <w:r/>
            <w:r>
              <w:rPr>
                <w:rFonts w:ascii="Noto Sans CJK SC" w:hAnsi="Noto Sans CJK SC" w:eastAsia="Noto Sans CJK SC"/>
                <w:b/>
                <w:color w:val="17324D"/>
                <w:sz w:val="17"/>
              </w:rPr>
              <w:t>是否融资</w:t>
            </w:r>
          </w:p>
        </w:tc>
        <w:tc>
          <w:tcPr>
            <w:tcW w:type="dxa" w:w="5103"/>
            <w:vAlign w:val="center"/>
          </w:tcPr>
          <w:p>
            <w:pPr>
              <w:spacing w:after="0" w:before="0"/>
            </w:pPr>
            <w:r/>
            <w:r>
              <w:rPr>
                <w:rFonts w:ascii="Noto Sans CJK SC" w:hAnsi="Noto Sans CJK SC" w:eastAsia="Noto Sans CJK SC"/>
                <w:b w:val="0"/>
                <w:color w:val="000000"/>
                <w:sz w:val="17"/>
              </w:rPr>
              <w:t>□否  □筹备中  □已融资</w:t>
            </w:r>
          </w:p>
        </w:tc>
        <w:tc>
          <w:tcPr>
            <w:tcW w:type="dxa" w:w="1701"/>
            <w:shd w:fill="EAF1F6"/>
            <w:vAlign w:val="center"/>
          </w:tcPr>
          <w:p>
            <w:pPr>
              <w:spacing w:after="0" w:before="0"/>
            </w:pPr>
            <w:r/>
            <w:r>
              <w:rPr>
                <w:rFonts w:ascii="Noto Sans CJK SC" w:hAnsi="Noto Sans CJK SC" w:eastAsia="Noto Sans CJK SC"/>
                <w:b/>
                <w:color w:val="17324D"/>
                <w:sz w:val="17"/>
              </w:rPr>
              <w:t>是否存在纠纷</w:t>
            </w:r>
          </w:p>
        </w:tc>
        <w:tc>
          <w:tcPr>
            <w:tcW w:type="dxa" w:w="5103"/>
            <w:vAlign w:val="center"/>
          </w:tcPr>
          <w:p>
            <w:pPr>
              <w:spacing w:after="0" w:before="0"/>
            </w:pPr>
            <w:r/>
            <w:r>
              <w:rPr>
                <w:rFonts w:ascii="Noto Sans CJK SC" w:hAnsi="Noto Sans CJK SC" w:eastAsia="Noto Sans CJK SC"/>
                <w:b w:val="0"/>
                <w:color w:val="000000"/>
                <w:sz w:val="17"/>
              </w:rPr>
              <w:t>□否  □潜在分歧  □已发生</w:t>
            </w:r>
          </w:p>
        </w:tc>
      </w:tr>
      <w:tr>
        <w:tc>
          <w:tcPr>
            <w:tcW w:type="dxa" w:w="1701"/>
            <w:shd w:fill="EAF1F6"/>
            <w:vAlign w:val="center"/>
          </w:tcPr>
          <w:p>
            <w:pPr>
              <w:spacing w:after="0" w:before="0"/>
            </w:pPr>
            <w:r/>
            <w:r>
              <w:rPr>
                <w:rFonts w:ascii="Noto Sans CJK SC" w:hAnsi="Noto Sans CJK SC" w:eastAsia="Noto Sans CJK SC"/>
                <w:b/>
                <w:color w:val="17324D"/>
                <w:sz w:val="17"/>
              </w:rPr>
              <w:t>现有文件</w:t>
            </w:r>
          </w:p>
        </w:tc>
        <w:tc>
          <w:tcPr>
            <w:tcW w:type="dxa" w:w="5103"/>
            <w:vAlign w:val="center"/>
          </w:tcPr>
          <w:p>
            <w:pPr>
              <w:spacing w:after="0" w:before="0"/>
            </w:pPr>
            <w:r/>
            <w:r>
              <w:rPr>
                <w:rFonts w:ascii="Noto Sans CJK SC" w:hAnsi="Noto Sans CJK SC" w:eastAsia="Noto Sans CJK SC"/>
                <w:b w:val="0"/>
                <w:color w:val="000000"/>
                <w:sz w:val="17"/>
              </w:rPr>
              <w:t>□章程  □股东协议  □投资协议  □激励文件</w:t>
            </w:r>
          </w:p>
        </w:tc>
        <w:tc>
          <w:tcPr>
            <w:tcW w:type="dxa" w:w="1701"/>
            <w:shd w:fill="EAF1F6"/>
            <w:vAlign w:val="center"/>
          </w:tcPr>
          <w:p>
            <w:pPr>
              <w:spacing w:after="0" w:before="0"/>
            </w:pPr>
            <w:r/>
            <w:r>
              <w:rPr>
                <w:rFonts w:ascii="Noto Sans CJK SC" w:hAnsi="Noto Sans CJK SC" w:eastAsia="Noto Sans CJK SC"/>
                <w:b/>
                <w:color w:val="17324D"/>
                <w:sz w:val="17"/>
              </w:rPr>
              <w:t>本次重点</w:t>
            </w:r>
          </w:p>
        </w:tc>
        <w:tc>
          <w:tcPr>
            <w:tcW w:type="dxa" w:w="5103"/>
            <w:vAlign w:val="center"/>
          </w:tcPr>
          <w:p>
            <w:pPr>
              <w:spacing w:after="0" w:before="0"/>
            </w:pPr>
            <w:r/>
            <w:r>
              <w:rPr>
                <w:rFonts w:ascii="Noto Sans CJK SC" w:hAnsi="Noto Sans CJK SC" w:eastAsia="Noto Sans CJK SC"/>
                <w:b w:val="0"/>
                <w:color w:val="000000"/>
                <w:sz w:val="17"/>
              </w:rPr>
            </w:r>
          </w:p>
        </w:tc>
      </w:tr>
    </w:tbl>
    <w:p>
      <w:pPr>
        <w:pStyle w:val="Heading1"/>
      </w:pPr>
      <w:r>
        <w:t>五、项目清单</w:t>
      </w:r>
    </w:p>
    <w:p>
      <w:pPr>
        <w:pStyle w:val="Heading2"/>
      </w:pPr>
      <w:r>
        <w:t>A. 公司基础与出资规则（1—7）</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1</w:t>
            </w:r>
          </w:p>
        </w:tc>
        <w:tc>
          <w:tcPr>
            <w:tcW w:type="dxa" w:w="6123"/>
            <w:vAlign w:val="center"/>
          </w:tcPr>
          <w:p>
            <w:pPr>
              <w:spacing w:after="0" w:before="0"/>
              <w:jc w:val="left"/>
            </w:pPr>
            <w:r/>
            <w:r>
              <w:rPr>
                <w:rFonts w:ascii="Noto Sans CJK SC" w:hAnsi="Noto Sans CJK SC" w:eastAsia="Noto Sans CJK SC"/>
                <w:b w:val="0"/>
                <w:color w:val="000000"/>
                <w:sz w:val="15"/>
              </w:rPr>
              <w:t>公司名称、住所、经营范围、注册资本与登记信息一致。</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核对营业执照及登记档案，避免章程文本与登记状态冲突。</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w:t>
            </w:r>
          </w:p>
        </w:tc>
        <w:tc>
          <w:tcPr>
            <w:tcW w:type="dxa" w:w="6123"/>
            <w:vAlign w:val="center"/>
          </w:tcPr>
          <w:p>
            <w:pPr>
              <w:spacing w:after="0" w:before="0"/>
              <w:jc w:val="left"/>
            </w:pPr>
            <w:r/>
            <w:r>
              <w:rPr>
                <w:rFonts w:ascii="Noto Sans CJK SC" w:hAnsi="Noto Sans CJK SC" w:eastAsia="Noto Sans CJK SC"/>
                <w:b w:val="0"/>
                <w:color w:val="000000"/>
                <w:sz w:val="15"/>
              </w:rPr>
              <w:t>股东姓名/名称、认缴出资额、方式和期限完整准确。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结合现行出资期限规则及公司现金需求重新核查。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w:t>
            </w:r>
          </w:p>
        </w:tc>
        <w:tc>
          <w:tcPr>
            <w:tcW w:type="dxa" w:w="6123"/>
            <w:vAlign w:val="center"/>
          </w:tcPr>
          <w:p>
            <w:pPr>
              <w:spacing w:after="0" w:before="0"/>
              <w:jc w:val="left"/>
            </w:pPr>
            <w:r/>
            <w:r>
              <w:rPr>
                <w:rFonts w:ascii="Noto Sans CJK SC" w:hAnsi="Noto Sans CJK SC" w:eastAsia="Noto Sans CJK SC"/>
                <w:b w:val="0"/>
                <w:color w:val="000000"/>
                <w:sz w:val="15"/>
              </w:rPr>
              <w:t>股东实际出资、非货币财产作价、权属转移和验收程序明确。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明确证明材料、评估、交付和工商登记衔接。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4</w:t>
            </w:r>
          </w:p>
        </w:tc>
        <w:tc>
          <w:tcPr>
            <w:tcW w:type="dxa" w:w="6123"/>
            <w:vAlign w:val="center"/>
          </w:tcPr>
          <w:p>
            <w:pPr>
              <w:spacing w:after="0" w:before="0"/>
              <w:jc w:val="left"/>
            </w:pPr>
            <w:r/>
            <w:r>
              <w:rPr>
                <w:rFonts w:ascii="Noto Sans CJK SC" w:hAnsi="Noto Sans CJK SC" w:eastAsia="Noto Sans CJK SC"/>
                <w:b w:val="0"/>
                <w:color w:val="000000"/>
                <w:sz w:val="15"/>
              </w:rPr>
              <w:t>出资催缴、宽限期、违约责任和失权处理有可执行程序。</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设置通知、补救期限、决策主体及股权后续处理。</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5</w:t>
            </w:r>
          </w:p>
        </w:tc>
        <w:tc>
          <w:tcPr>
            <w:tcW w:type="dxa" w:w="6123"/>
            <w:vAlign w:val="center"/>
          </w:tcPr>
          <w:p>
            <w:pPr>
              <w:spacing w:after="0" w:before="0"/>
              <w:jc w:val="left"/>
            </w:pPr>
            <w:r/>
            <w:r>
              <w:rPr>
                <w:rFonts w:ascii="Noto Sans CJK SC" w:hAnsi="Noto Sans CJK SC" w:eastAsia="Noto Sans CJK SC"/>
                <w:b w:val="0"/>
                <w:color w:val="000000"/>
                <w:sz w:val="15"/>
              </w:rPr>
              <w:t>股东提前出资、增资和股东放弃优先认缴的程序明确。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避免临时融资时因程序不清发生争议。</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6</w:t>
            </w:r>
          </w:p>
        </w:tc>
        <w:tc>
          <w:tcPr>
            <w:tcW w:type="dxa" w:w="6123"/>
            <w:vAlign w:val="center"/>
          </w:tcPr>
          <w:p>
            <w:pPr>
              <w:spacing w:after="0" w:before="0"/>
              <w:jc w:val="left"/>
            </w:pPr>
            <w:r/>
            <w:r>
              <w:rPr>
                <w:rFonts w:ascii="Noto Sans CJK SC" w:hAnsi="Noto Sans CJK SC" w:eastAsia="Noto Sans CJK SC"/>
                <w:b w:val="0"/>
                <w:color w:val="000000"/>
                <w:sz w:val="15"/>
              </w:rPr>
              <w:t>公司不能清偿到期债务等特殊情形下的出资风险已有提示和内部应对。</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建立出资台账和风险提示机制。</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7</w:t>
            </w:r>
          </w:p>
        </w:tc>
        <w:tc>
          <w:tcPr>
            <w:tcW w:type="dxa" w:w="6123"/>
            <w:vAlign w:val="center"/>
          </w:tcPr>
          <w:p>
            <w:pPr>
              <w:spacing w:after="0" w:before="0"/>
              <w:jc w:val="left"/>
            </w:pPr>
            <w:r/>
            <w:r>
              <w:rPr>
                <w:rFonts w:ascii="Noto Sans CJK SC" w:hAnsi="Noto Sans CJK SC" w:eastAsia="Noto Sans CJK SC"/>
                <w:b w:val="0"/>
                <w:color w:val="000000"/>
                <w:sz w:val="15"/>
              </w:rPr>
              <w:t>股东名册、出资证明书、工商登记与实际权益保持一致。</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定期核对并处理代持、转让未登记等历史问题。</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2"/>
      </w:pPr>
      <w:r>
        <w:t>B. 股东会与表决机制（8—14）</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8</w:t>
            </w:r>
          </w:p>
        </w:tc>
        <w:tc>
          <w:tcPr>
            <w:tcW w:type="dxa" w:w="6123"/>
            <w:vAlign w:val="center"/>
          </w:tcPr>
          <w:p>
            <w:pPr>
              <w:spacing w:after="0" w:before="0"/>
              <w:jc w:val="left"/>
            </w:pPr>
            <w:r/>
            <w:r>
              <w:rPr>
                <w:rFonts w:ascii="Noto Sans CJK SC" w:hAnsi="Noto Sans CJK SC" w:eastAsia="Noto Sans CJK SC"/>
                <w:b w:val="0"/>
                <w:color w:val="000000"/>
                <w:sz w:val="15"/>
              </w:rPr>
              <w:t>股东会职权与董事会、经理层权限边界明确。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制作重大事项和授权事项清单。</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9</w:t>
            </w:r>
          </w:p>
        </w:tc>
        <w:tc>
          <w:tcPr>
            <w:tcW w:type="dxa" w:w="6123"/>
            <w:vAlign w:val="center"/>
          </w:tcPr>
          <w:p>
            <w:pPr>
              <w:spacing w:after="0" w:before="0"/>
              <w:jc w:val="left"/>
            </w:pPr>
            <w:r/>
            <w:r>
              <w:rPr>
                <w:rFonts w:ascii="Noto Sans CJK SC" w:hAnsi="Noto Sans CJK SC" w:eastAsia="Noto Sans CJK SC"/>
                <w:b w:val="0"/>
                <w:color w:val="000000"/>
                <w:sz w:val="15"/>
              </w:rPr>
              <w:t>会议召集主体、召集顺位及拒不召集时的替代程序明确。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避免因个别人员不配合导致会议无法召开。</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10</w:t>
            </w:r>
          </w:p>
        </w:tc>
        <w:tc>
          <w:tcPr>
            <w:tcW w:type="dxa" w:w="6123"/>
            <w:vAlign w:val="center"/>
          </w:tcPr>
          <w:p>
            <w:pPr>
              <w:spacing w:after="0" w:before="0"/>
              <w:jc w:val="left"/>
            </w:pPr>
            <w:r/>
            <w:r>
              <w:rPr>
                <w:rFonts w:ascii="Noto Sans CJK SC" w:hAnsi="Noto Sans CJK SC" w:eastAsia="Noto Sans CJK SC"/>
                <w:b w:val="0"/>
                <w:color w:val="000000"/>
                <w:sz w:val="15"/>
              </w:rPr>
              <w:t>通知方式、期限、送达地址、电子通知及变更义务明确。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保留送达和会议程序证据。</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11</w:t>
            </w:r>
          </w:p>
        </w:tc>
        <w:tc>
          <w:tcPr>
            <w:tcW w:type="dxa" w:w="6123"/>
            <w:vAlign w:val="center"/>
          </w:tcPr>
          <w:p>
            <w:pPr>
              <w:spacing w:after="0" w:before="0"/>
              <w:jc w:val="left"/>
            </w:pPr>
            <w:r/>
            <w:r>
              <w:rPr>
                <w:rFonts w:ascii="Noto Sans CJK SC" w:hAnsi="Noto Sans CJK SC" w:eastAsia="Noto Sans CJK SC"/>
                <w:b w:val="0"/>
                <w:color w:val="000000"/>
                <w:sz w:val="15"/>
              </w:rPr>
              <w:t>线上会议、视频参会、书面决议和电子签署规则可执行。</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结合企业股东分布和日常管理实际设置。</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12</w:t>
            </w:r>
          </w:p>
        </w:tc>
        <w:tc>
          <w:tcPr>
            <w:tcW w:type="dxa" w:w="6123"/>
            <w:vAlign w:val="center"/>
          </w:tcPr>
          <w:p>
            <w:pPr>
              <w:spacing w:after="0" w:before="0"/>
              <w:jc w:val="left"/>
            </w:pPr>
            <w:r/>
            <w:r>
              <w:rPr>
                <w:rFonts w:ascii="Noto Sans CJK SC" w:hAnsi="Noto Sans CJK SC" w:eastAsia="Noto Sans CJK SC"/>
                <w:b w:val="0"/>
                <w:color w:val="000000"/>
                <w:sz w:val="15"/>
              </w:rPr>
              <w:t>普通事项、重大事项和特别保留事项的表决门槛清晰。</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避免门槛过高导致停摆或过低损害少数股东。</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13</w:t>
            </w:r>
          </w:p>
        </w:tc>
        <w:tc>
          <w:tcPr>
            <w:tcW w:type="dxa" w:w="6123"/>
            <w:vAlign w:val="center"/>
          </w:tcPr>
          <w:p>
            <w:pPr>
              <w:spacing w:after="0" w:before="0"/>
              <w:jc w:val="left"/>
            </w:pPr>
            <w:r/>
            <w:r>
              <w:rPr>
                <w:rFonts w:ascii="Noto Sans CJK SC" w:hAnsi="Noto Sans CJK SC" w:eastAsia="Noto Sans CJK SC"/>
                <w:b w:val="0"/>
                <w:color w:val="000000"/>
                <w:sz w:val="15"/>
              </w:rPr>
              <w:t>关联股东回避、利益冲突披露和关联交易审批机制明确。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与财务制度和董事会规则衔接。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14</w:t>
            </w:r>
          </w:p>
        </w:tc>
        <w:tc>
          <w:tcPr>
            <w:tcW w:type="dxa" w:w="6123"/>
            <w:vAlign w:val="center"/>
          </w:tcPr>
          <w:p>
            <w:pPr>
              <w:spacing w:after="0" w:before="0"/>
              <w:jc w:val="left"/>
            </w:pPr>
            <w:r/>
            <w:r>
              <w:rPr>
                <w:rFonts w:ascii="Noto Sans CJK SC" w:hAnsi="Noto Sans CJK SC" w:eastAsia="Noto Sans CJK SC"/>
                <w:b w:val="0"/>
                <w:color w:val="000000"/>
                <w:sz w:val="15"/>
              </w:rPr>
              <w:t>股东会记录、决议签署、异议记载和档案保管责任明确。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建立会议证据链，降低决议效力争议。</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2"/>
      </w:pPr>
      <w:r>
        <w:t>C. 董事会、监督机构与经营层（15—21）</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15</w:t>
            </w:r>
          </w:p>
        </w:tc>
        <w:tc>
          <w:tcPr>
            <w:tcW w:type="dxa" w:w="6123"/>
            <w:vAlign w:val="center"/>
          </w:tcPr>
          <w:p>
            <w:pPr>
              <w:spacing w:after="0" w:before="0"/>
              <w:jc w:val="left"/>
            </w:pPr>
            <w:r/>
            <w:r>
              <w:rPr>
                <w:rFonts w:ascii="Noto Sans CJK SC" w:hAnsi="Noto Sans CJK SC" w:eastAsia="Noto Sans CJK SC"/>
                <w:b w:val="0"/>
                <w:color w:val="000000"/>
                <w:sz w:val="15"/>
              </w:rPr>
              <w:t>董事会设置、人数、任期、席位和提名权符合实际控制安排。</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避免股权控制与董事会控制脱节。</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16</w:t>
            </w:r>
          </w:p>
        </w:tc>
        <w:tc>
          <w:tcPr>
            <w:tcW w:type="dxa" w:w="6123"/>
            <w:vAlign w:val="center"/>
          </w:tcPr>
          <w:p>
            <w:pPr>
              <w:spacing w:after="0" w:before="0"/>
              <w:jc w:val="left"/>
            </w:pPr>
            <w:r/>
            <w:r>
              <w:rPr>
                <w:rFonts w:ascii="Noto Sans CJK SC" w:hAnsi="Noto Sans CJK SC" w:eastAsia="Noto Sans CJK SC"/>
                <w:b w:val="0"/>
                <w:color w:val="000000"/>
                <w:sz w:val="15"/>
              </w:rPr>
              <w:t>董事长产生、召集主持、对外签署及不能履职时替代规则明确。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减少董事长失联或拒不履职风险。</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17</w:t>
            </w:r>
          </w:p>
        </w:tc>
        <w:tc>
          <w:tcPr>
            <w:tcW w:type="dxa" w:w="6123"/>
            <w:vAlign w:val="center"/>
          </w:tcPr>
          <w:p>
            <w:pPr>
              <w:spacing w:after="0" w:before="0"/>
              <w:jc w:val="left"/>
            </w:pPr>
            <w:r/>
            <w:r>
              <w:rPr>
                <w:rFonts w:ascii="Noto Sans CJK SC" w:hAnsi="Noto Sans CJK SC" w:eastAsia="Noto Sans CJK SC"/>
                <w:b w:val="0"/>
                <w:color w:val="000000"/>
                <w:sz w:val="15"/>
              </w:rPr>
              <w:t>董事会会议通知、表决、回避、记录和僵局处理明确。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与股东协议和投资协议一致。</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18</w:t>
            </w:r>
          </w:p>
        </w:tc>
        <w:tc>
          <w:tcPr>
            <w:tcW w:type="dxa" w:w="6123"/>
            <w:vAlign w:val="center"/>
          </w:tcPr>
          <w:p>
            <w:pPr>
              <w:spacing w:after="0" w:before="0"/>
              <w:jc w:val="left"/>
            </w:pPr>
            <w:r/>
            <w:r>
              <w:rPr>
                <w:rFonts w:ascii="Noto Sans CJK SC" w:hAnsi="Noto Sans CJK SC" w:eastAsia="Noto Sans CJK SC"/>
                <w:b w:val="0"/>
                <w:color w:val="000000"/>
                <w:sz w:val="15"/>
              </w:rPr>
              <w:t>审计委员会或监事/监事会的设置及监督权限符合公司选择。</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明确财务监督、调查和报告程序。</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19</w:t>
            </w:r>
          </w:p>
        </w:tc>
        <w:tc>
          <w:tcPr>
            <w:tcW w:type="dxa" w:w="6123"/>
            <w:vAlign w:val="center"/>
          </w:tcPr>
          <w:p>
            <w:pPr>
              <w:spacing w:after="0" w:before="0"/>
              <w:jc w:val="left"/>
            </w:pPr>
            <w:r/>
            <w:r>
              <w:rPr>
                <w:rFonts w:ascii="Noto Sans CJK SC" w:hAnsi="Noto Sans CJK SC" w:eastAsia="Noto Sans CJK SC"/>
                <w:b w:val="0"/>
                <w:color w:val="000000"/>
                <w:sz w:val="15"/>
              </w:rPr>
              <w:t>经理层职权、授权额度、重大合同及投资审批边界明确。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防止董事会过度介入或管理层越权。</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20</w:t>
            </w:r>
          </w:p>
        </w:tc>
        <w:tc>
          <w:tcPr>
            <w:tcW w:type="dxa" w:w="6123"/>
            <w:vAlign w:val="center"/>
          </w:tcPr>
          <w:p>
            <w:pPr>
              <w:spacing w:after="0" w:before="0"/>
              <w:jc w:val="left"/>
            </w:pPr>
            <w:r/>
            <w:r>
              <w:rPr>
                <w:rFonts w:ascii="Noto Sans CJK SC" w:hAnsi="Noto Sans CJK SC" w:eastAsia="Noto Sans CJK SC"/>
                <w:b w:val="0"/>
                <w:color w:val="000000"/>
                <w:sz w:val="15"/>
              </w:rPr>
              <w:t>法定代表人的产生、职权、限制、变更及交接机制明确。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与印章、合同签署和工商变更制度衔接。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21</w:t>
            </w:r>
          </w:p>
        </w:tc>
        <w:tc>
          <w:tcPr>
            <w:tcW w:type="dxa" w:w="6123"/>
            <w:vAlign w:val="center"/>
          </w:tcPr>
          <w:p>
            <w:pPr>
              <w:spacing w:after="0" w:before="0"/>
              <w:jc w:val="left"/>
            </w:pPr>
            <w:r/>
            <w:r>
              <w:rPr>
                <w:rFonts w:ascii="Noto Sans CJK SC" w:hAnsi="Noto Sans CJK SC" w:eastAsia="Noto Sans CJK SC"/>
                <w:b w:val="0"/>
                <w:color w:val="000000"/>
                <w:sz w:val="15"/>
              </w:rPr>
              <w:t>董事、高管忠实勤勉、利益冲突、关联交易和责任追究规则明确。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建立披露、回避、审批和追责通道。</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2"/>
      </w:pPr>
      <w:r>
        <w:t>D. 财务、分红与信息权（22—26）</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22</w:t>
            </w:r>
          </w:p>
        </w:tc>
        <w:tc>
          <w:tcPr>
            <w:tcW w:type="dxa" w:w="6123"/>
            <w:vAlign w:val="center"/>
          </w:tcPr>
          <w:p>
            <w:pPr>
              <w:spacing w:after="0" w:before="0"/>
              <w:jc w:val="left"/>
            </w:pPr>
            <w:r/>
            <w:r>
              <w:rPr>
                <w:rFonts w:ascii="Noto Sans CJK SC" w:hAnsi="Noto Sans CJK SC" w:eastAsia="Noto Sans CJK SC"/>
                <w:b w:val="0"/>
                <w:color w:val="000000"/>
                <w:sz w:val="15"/>
              </w:rPr>
              <w:t>会计年度、财务报告、预算和审计安排明确。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明确报表提供对象、时间和责任人。</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23</w:t>
            </w:r>
          </w:p>
        </w:tc>
        <w:tc>
          <w:tcPr>
            <w:tcW w:type="dxa" w:w="6123"/>
            <w:vAlign w:val="center"/>
          </w:tcPr>
          <w:p>
            <w:pPr>
              <w:spacing w:after="0" w:before="0"/>
              <w:jc w:val="left"/>
            </w:pPr>
            <w:r/>
            <w:r>
              <w:rPr>
                <w:rFonts w:ascii="Noto Sans CJK SC" w:hAnsi="Noto Sans CJK SC" w:eastAsia="Noto Sans CJK SC"/>
                <w:b w:val="0"/>
                <w:color w:val="000000"/>
                <w:sz w:val="15"/>
              </w:rPr>
              <w:t>利润分配条件、比例、决策程序和现金流约束明确。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区分可分配利润与账户现金。</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24</w:t>
            </w:r>
          </w:p>
        </w:tc>
        <w:tc>
          <w:tcPr>
            <w:tcW w:type="dxa" w:w="6123"/>
            <w:vAlign w:val="center"/>
          </w:tcPr>
          <w:p>
            <w:pPr>
              <w:spacing w:after="0" w:before="0"/>
              <w:jc w:val="left"/>
            </w:pPr>
            <w:r/>
            <w:r>
              <w:rPr>
                <w:rFonts w:ascii="Noto Sans CJK SC" w:hAnsi="Noto Sans CJK SC" w:eastAsia="Noto Sans CJK SC"/>
                <w:b w:val="0"/>
                <w:color w:val="000000"/>
                <w:sz w:val="15"/>
              </w:rPr>
              <w:t>长期不分红、利润留存和重大再投资有说明及决策机制。</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降低分红争议和控股股东滥用风险。</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25</w:t>
            </w:r>
          </w:p>
        </w:tc>
        <w:tc>
          <w:tcPr>
            <w:tcW w:type="dxa" w:w="6123"/>
            <w:vAlign w:val="center"/>
          </w:tcPr>
          <w:p>
            <w:pPr>
              <w:spacing w:after="0" w:before="0"/>
              <w:jc w:val="left"/>
            </w:pPr>
            <w:r/>
            <w:r>
              <w:rPr>
                <w:rFonts w:ascii="Noto Sans CJK SC" w:hAnsi="Noto Sans CJK SC" w:eastAsia="Noto Sans CJK SC"/>
                <w:b w:val="0"/>
                <w:color w:val="000000"/>
                <w:sz w:val="15"/>
              </w:rPr>
              <w:t>股东知情权范围、申请方式、查阅地点、保密和代理人规则明确。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兼顾股东监督与商业秘密保护。</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26</w:t>
            </w:r>
          </w:p>
        </w:tc>
        <w:tc>
          <w:tcPr>
            <w:tcW w:type="dxa" w:w="6123"/>
            <w:vAlign w:val="center"/>
          </w:tcPr>
          <w:p>
            <w:pPr>
              <w:spacing w:after="0" w:before="0"/>
              <w:jc w:val="left"/>
            </w:pPr>
            <w:r/>
            <w:r>
              <w:rPr>
                <w:rFonts w:ascii="Noto Sans CJK SC" w:hAnsi="Noto Sans CJK SC" w:eastAsia="Noto Sans CJK SC"/>
                <w:b w:val="0"/>
                <w:color w:val="000000"/>
                <w:sz w:val="15"/>
              </w:rPr>
              <w:t>印章、证照、账户、网银、合同和财务资料管理有章程或制度接口。</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不能只靠保管人员个人控制。</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2"/>
      </w:pPr>
      <w:r>
        <w:t>E. 股权转让、退出与特殊情形（27—33）</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27</w:t>
            </w:r>
          </w:p>
        </w:tc>
        <w:tc>
          <w:tcPr>
            <w:tcW w:type="dxa" w:w="6123"/>
            <w:vAlign w:val="center"/>
          </w:tcPr>
          <w:p>
            <w:pPr>
              <w:spacing w:after="0" w:before="0"/>
              <w:jc w:val="left"/>
            </w:pPr>
            <w:r/>
            <w:r>
              <w:rPr>
                <w:rFonts w:ascii="Noto Sans CJK SC" w:hAnsi="Noto Sans CJK SC" w:eastAsia="Noto Sans CJK SC"/>
                <w:b w:val="0"/>
                <w:color w:val="000000"/>
                <w:sz w:val="15"/>
              </w:rPr>
              <w:t>对外转让通知内容、送达、答复期限和优先购买程序明确。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与现行公司法规则及股东协议衔接。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28</w:t>
            </w:r>
          </w:p>
        </w:tc>
        <w:tc>
          <w:tcPr>
            <w:tcW w:type="dxa" w:w="6123"/>
            <w:vAlign w:val="center"/>
          </w:tcPr>
          <w:p>
            <w:pPr>
              <w:spacing w:after="0" w:before="0"/>
              <w:jc w:val="left"/>
            </w:pPr>
            <w:r/>
            <w:r>
              <w:rPr>
                <w:rFonts w:ascii="Noto Sans CJK SC" w:hAnsi="Noto Sans CJK SC" w:eastAsia="Noto Sans CJK SC"/>
                <w:b w:val="0"/>
                <w:color w:val="000000"/>
                <w:sz w:val="15"/>
              </w:rPr>
              <w:t>内部转让、控制权转让和新股东加入协议程序明确。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要求受让人承继章程外义务。</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29</w:t>
            </w:r>
          </w:p>
        </w:tc>
        <w:tc>
          <w:tcPr>
            <w:tcW w:type="dxa" w:w="6123"/>
            <w:vAlign w:val="center"/>
          </w:tcPr>
          <w:p>
            <w:pPr>
              <w:spacing w:after="0" w:before="0"/>
              <w:jc w:val="left"/>
            </w:pPr>
            <w:r/>
            <w:r>
              <w:rPr>
                <w:rFonts w:ascii="Noto Sans CJK SC" w:hAnsi="Noto Sans CJK SC" w:eastAsia="Noto Sans CJK SC"/>
                <w:b w:val="0"/>
                <w:color w:val="000000"/>
                <w:sz w:val="15"/>
              </w:rPr>
              <w:t>股权质押、代持、信托或其他权益安排的披露及限制明确。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防止隐名安排破坏控制和融资。</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30</w:t>
            </w:r>
          </w:p>
        </w:tc>
        <w:tc>
          <w:tcPr>
            <w:tcW w:type="dxa" w:w="6123"/>
            <w:vAlign w:val="center"/>
          </w:tcPr>
          <w:p>
            <w:pPr>
              <w:spacing w:after="0" w:before="0"/>
              <w:jc w:val="left"/>
            </w:pPr>
            <w:r/>
            <w:r>
              <w:rPr>
                <w:rFonts w:ascii="Noto Sans CJK SC" w:hAnsi="Noto Sans CJK SC" w:eastAsia="Noto Sans CJK SC"/>
                <w:b w:val="0"/>
                <w:color w:val="000000"/>
                <w:sz w:val="15"/>
              </w:rPr>
              <w:t>股东离职、违约、躺平或不再任职时的退出机制明确。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明确触发、购买主体、价格、付款和交割。</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31</w:t>
            </w:r>
          </w:p>
        </w:tc>
        <w:tc>
          <w:tcPr>
            <w:tcW w:type="dxa" w:w="6123"/>
            <w:vAlign w:val="center"/>
          </w:tcPr>
          <w:p>
            <w:pPr>
              <w:spacing w:after="0" w:before="0"/>
              <w:jc w:val="left"/>
            </w:pPr>
            <w:r/>
            <w:r>
              <w:rPr>
                <w:rFonts w:ascii="Noto Sans CJK SC" w:hAnsi="Noto Sans CJK SC" w:eastAsia="Noto Sans CJK SC"/>
                <w:b w:val="0"/>
                <w:color w:val="000000"/>
                <w:sz w:val="15"/>
              </w:rPr>
              <w:t>股东死亡、失能、离婚、继承、失联及被执行时有处理规则。</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兼顾资格、控制、继承和公司连续经营。</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32</w:t>
            </w:r>
          </w:p>
        </w:tc>
        <w:tc>
          <w:tcPr>
            <w:tcW w:type="dxa" w:w="6123"/>
            <w:vAlign w:val="center"/>
          </w:tcPr>
          <w:p>
            <w:pPr>
              <w:spacing w:after="0" w:before="0"/>
              <w:jc w:val="left"/>
            </w:pPr>
            <w:r/>
            <w:r>
              <w:rPr>
                <w:rFonts w:ascii="Noto Sans CJK SC" w:hAnsi="Noto Sans CJK SC" w:eastAsia="Noto Sans CJK SC"/>
                <w:b w:val="0"/>
                <w:color w:val="000000"/>
                <w:sz w:val="15"/>
              </w:rPr>
              <w:t>回购、减资、股权转让及付款安排符合程序并可实际履行。</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避免只写“人走股走”而无执行路径。</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33</w:t>
            </w:r>
          </w:p>
        </w:tc>
        <w:tc>
          <w:tcPr>
            <w:tcW w:type="dxa" w:w="6123"/>
            <w:vAlign w:val="center"/>
          </w:tcPr>
          <w:p>
            <w:pPr>
              <w:spacing w:after="0" w:before="0"/>
              <w:jc w:val="left"/>
            </w:pPr>
            <w:r/>
            <w:r>
              <w:rPr>
                <w:rFonts w:ascii="Noto Sans CJK SC" w:hAnsi="Noto Sans CJK SC" w:eastAsia="Noto Sans CJK SC"/>
                <w:b w:val="0"/>
                <w:color w:val="000000"/>
                <w:sz w:val="15"/>
              </w:rPr>
              <w:t>股东僵局有谈判、调解、买卖机制、解散或其他退出路径。</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为50:50和重大分歧预设程序。</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2"/>
      </w:pPr>
      <w:r>
        <w:t>F. 文件衔接与争议解决（34—35）</w:t>
      </w:r>
    </w:p>
    <w:tbl>
      <w:tblPr>
        <w:tblStyle w:val="TableGrid"/>
        <w:tblW w:type="auto" w:w="0"/>
        <w:jc w:val="center"/>
        <w:tblLayout w:type="fixed"/>
        <w:tblLook w:firstColumn="1" w:firstRow="1" w:lastColumn="0" w:lastRow="0" w:noHBand="0" w:noVBand="1" w:val="04A0"/>
      </w:tblPr>
      <w:tblGrid>
        <w:gridCol w:w="3039"/>
        <w:gridCol w:w="3039"/>
        <w:gridCol w:w="3039"/>
        <w:gridCol w:w="3039"/>
        <w:gridCol w:w="3039"/>
      </w:tblGrid>
      <w:tr>
        <w:trPr>
          <w:tblHeader w:val="true"/>
        </w:trPr>
        <w:tc>
          <w:tcPr>
            <w:tcW w:type="dxa" w:w="623"/>
            <w:shd w:fill="17324D"/>
            <w:vAlign w:val="center"/>
          </w:tcPr>
          <w:p>
            <w:pPr>
              <w:spacing w:after="0" w:before="0"/>
              <w:jc w:val="center"/>
            </w:pPr>
            <w:r/>
            <w:r>
              <w:rPr>
                <w:rFonts w:ascii="Noto Sans CJK SC" w:hAnsi="Noto Sans CJK SC" w:eastAsia="Noto Sans CJK SC"/>
                <w:b/>
                <w:color w:val="FFFFFF"/>
                <w:sz w:val="16"/>
              </w:rPr>
              <w:t>序号</w:t>
            </w:r>
          </w:p>
        </w:tc>
        <w:tc>
          <w:tcPr>
            <w:tcW w:type="dxa" w:w="6123"/>
            <w:shd w:fill="17324D"/>
            <w:vAlign w:val="center"/>
          </w:tcPr>
          <w:p>
            <w:pPr>
              <w:spacing w:after="0" w:before="0"/>
              <w:jc w:val="center"/>
            </w:pPr>
            <w:r/>
            <w:r>
              <w:rPr>
                <w:rFonts w:ascii="Noto Sans CJK SC" w:hAnsi="Noto Sans CJK SC" w:eastAsia="Noto Sans CJK SC"/>
                <w:b/>
                <w:color w:val="FFFFFF"/>
                <w:sz w:val="16"/>
              </w:rPr>
              <w:t>条款风险检查事项</w:t>
            </w:r>
          </w:p>
        </w:tc>
        <w:tc>
          <w:tcPr>
            <w:tcW w:type="dxa" w:w="2097"/>
            <w:shd w:fill="17324D"/>
            <w:vAlign w:val="center"/>
          </w:tcPr>
          <w:p>
            <w:pPr>
              <w:spacing w:after="0" w:before="0"/>
              <w:jc w:val="center"/>
            </w:pPr>
            <w:r/>
            <w:r>
              <w:rPr>
                <w:rFonts w:ascii="Noto Sans CJK SC" w:hAnsi="Noto Sans CJK SC" w:eastAsia="Noto Sans CJK SC"/>
                <w:b/>
                <w:color w:val="FFFFFF"/>
                <w:sz w:val="16"/>
              </w:rPr>
              <w:t>当前状态</w:t>
            </w:r>
          </w:p>
        </w:tc>
        <w:tc>
          <w:tcPr>
            <w:tcW w:type="dxa" w:w="4649"/>
            <w:shd w:fill="17324D"/>
            <w:vAlign w:val="center"/>
          </w:tcPr>
          <w:p>
            <w:pPr>
              <w:spacing w:after="0" w:before="0"/>
              <w:jc w:val="center"/>
            </w:pPr>
            <w:r/>
            <w:r>
              <w:rPr>
                <w:rFonts w:ascii="Noto Sans CJK SC" w:hAnsi="Noto Sans CJK SC" w:eastAsia="Noto Sans CJK SC"/>
                <w:b/>
                <w:color w:val="FFFFFF"/>
                <w:sz w:val="16"/>
              </w:rPr>
              <w:t>风险提示/整改方向</w:t>
            </w:r>
          </w:p>
        </w:tc>
        <w:tc>
          <w:tcPr>
            <w:tcW w:type="dxa" w:w="1871"/>
            <w:shd w:fill="17324D"/>
            <w:vAlign w:val="center"/>
          </w:tcPr>
          <w:p>
            <w:pPr>
              <w:spacing w:after="0" w:before="0"/>
              <w:jc w:val="center"/>
            </w:pPr>
            <w:r/>
            <w:r>
              <w:rPr>
                <w:rFonts w:ascii="Noto Sans CJK SC" w:hAnsi="Noto Sans CJK SC" w:eastAsia="Noto Sans CJK SC"/>
                <w:b/>
                <w:color w:val="FFFFFF"/>
                <w:sz w:val="16"/>
              </w:rPr>
              <w:t>企业备注</w:t>
            </w:r>
          </w:p>
        </w:tc>
      </w:tr>
      <w:tr>
        <w:tc>
          <w:tcPr>
            <w:tcW w:type="dxa" w:w="623"/>
            <w:vAlign w:val="center"/>
          </w:tcPr>
          <w:p>
            <w:pPr>
              <w:spacing w:after="0" w:before="0"/>
              <w:jc w:val="center"/>
            </w:pPr>
            <w:r/>
            <w:r>
              <w:rPr>
                <w:rFonts w:ascii="Noto Sans CJK SC" w:hAnsi="Noto Sans CJK SC" w:eastAsia="Noto Sans CJK SC"/>
                <w:b w:val="0"/>
                <w:color w:val="000000"/>
                <w:sz w:val="15"/>
              </w:rPr>
              <w:t>34</w:t>
            </w:r>
          </w:p>
        </w:tc>
        <w:tc>
          <w:tcPr>
            <w:tcW w:type="dxa" w:w="6123"/>
            <w:vAlign w:val="center"/>
          </w:tcPr>
          <w:p>
            <w:pPr>
              <w:spacing w:after="0" w:before="0"/>
              <w:jc w:val="left"/>
            </w:pPr>
            <w:r/>
            <w:r>
              <w:rPr>
                <w:rFonts w:ascii="Noto Sans CJK SC" w:hAnsi="Noto Sans CJK SC" w:eastAsia="Noto Sans CJK SC"/>
                <w:b w:val="0"/>
                <w:color w:val="000000"/>
                <w:sz w:val="15"/>
              </w:rPr>
              <w:t>章程与股东协议、投资协议、持股平台和内部制度相互衔接。</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不要只写“协议冲突以某文件为准”，应逐项落实。</w:t>
            </w:r>
          </w:p>
        </w:tc>
        <w:tc>
          <w:tcPr>
            <w:tcW w:type="dxa" w:w="1871"/>
            <w:vAlign w:val="center"/>
          </w:tcPr>
          <w:p>
            <w:pPr>
              <w:spacing w:after="0" w:before="0"/>
              <w:jc w:val="left"/>
            </w:pPr>
            <w:r/>
            <w:r>
              <w:rPr>
                <w:rFonts w:ascii="Noto Sans CJK SC" w:hAnsi="Noto Sans CJK SC" w:eastAsia="Noto Sans CJK SC"/>
                <w:b w:val="0"/>
                <w:color w:val="000000"/>
                <w:sz w:val="15"/>
              </w:rPr>
            </w:r>
          </w:p>
        </w:tc>
      </w:tr>
      <w:tr>
        <w:tc>
          <w:tcPr>
            <w:tcW w:type="dxa" w:w="623"/>
            <w:vAlign w:val="center"/>
          </w:tcPr>
          <w:p>
            <w:pPr>
              <w:spacing w:after="0" w:before="0"/>
              <w:jc w:val="center"/>
            </w:pPr>
            <w:r/>
            <w:r>
              <w:rPr>
                <w:rFonts w:ascii="Noto Sans CJK SC" w:hAnsi="Noto Sans CJK SC" w:eastAsia="Noto Sans CJK SC"/>
                <w:b w:val="0"/>
                <w:color w:val="000000"/>
                <w:sz w:val="15"/>
              </w:rPr>
              <w:t>35</w:t>
            </w:r>
          </w:p>
        </w:tc>
        <w:tc>
          <w:tcPr>
            <w:tcW w:type="dxa" w:w="6123"/>
            <w:vAlign w:val="center"/>
          </w:tcPr>
          <w:p>
            <w:pPr>
              <w:spacing w:after="0" w:before="0"/>
              <w:jc w:val="left"/>
            </w:pPr>
            <w:r/>
            <w:r>
              <w:rPr>
                <w:rFonts w:ascii="Noto Sans CJK SC" w:hAnsi="Noto Sans CJK SC" w:eastAsia="Noto Sans CJK SC"/>
                <w:b w:val="0"/>
                <w:color w:val="000000"/>
                <w:sz w:val="15"/>
              </w:rPr>
              <w:t>违约责任、通知送达、争议解决和章程修改程序明确。</w:t>
            </w:r>
          </w:p>
        </w:tc>
        <w:tc>
          <w:tcPr>
            <w:tcW w:type="dxa" w:w="2097"/>
            <w:vAlign w:val="center"/>
          </w:tcPr>
          <w:p>
            <w:pPr>
              <w:spacing w:after="0" w:before="0"/>
              <w:jc w:val="left"/>
            </w:pPr>
            <w:r/>
            <w:r>
              <w:rPr>
                <w:rFonts w:ascii="Noto Sans CJK SC" w:hAnsi="Noto Sans CJK SC" w:eastAsia="Noto Sans CJK SC"/>
                <w:b w:val="0"/>
                <w:color w:val="000000"/>
                <w:sz w:val="15"/>
              </w:rPr>
              <w:t>□已完善  □需修改  □缺失</w:t>
            </w:r>
          </w:p>
        </w:tc>
        <w:tc>
          <w:tcPr>
            <w:tcW w:type="dxa" w:w="4649"/>
            <w:vAlign w:val="center"/>
          </w:tcPr>
          <w:p>
            <w:pPr>
              <w:spacing w:after="0" w:before="0"/>
              <w:jc w:val="left"/>
            </w:pPr>
            <w:r/>
            <w:r>
              <w:rPr>
                <w:rFonts w:ascii="Noto Sans CJK SC" w:hAnsi="Noto Sans CJK SC" w:eastAsia="Noto Sans CJK SC"/>
                <w:b w:val="0"/>
                <w:color w:val="000000"/>
                <w:sz w:val="15"/>
              </w:rPr>
              <w:t>结合所在地、保全、执行和股东关系选择路径。</w:t>
            </w:r>
          </w:p>
        </w:tc>
        <w:tc>
          <w:tcPr>
            <w:tcW w:type="dxa" w:w="1871"/>
            <w:vAlign w:val="center"/>
          </w:tcPr>
          <w:p>
            <w:pPr>
              <w:spacing w:after="0" w:before="0"/>
              <w:jc w:val="left"/>
            </w:pPr>
            <w:r/>
            <w:r>
              <w:rPr>
                <w:rFonts w:ascii="Noto Sans CJK SC" w:hAnsi="Noto Sans CJK SC" w:eastAsia="Noto Sans CJK SC"/>
                <w:b w:val="0"/>
                <w:color w:val="000000"/>
                <w:sz w:val="15"/>
              </w:rPr>
            </w:r>
          </w:p>
        </w:tc>
      </w:tr>
    </w:tbl>
    <w:p>
      <w:pPr>
        <w:pStyle w:val="Heading1"/>
      </w:pPr>
      <w:r>
        <w:t>六、结论与整改计划</w:t>
      </w:r>
    </w:p>
    <w:p>
      <w:pPr>
        <w:pStyle w:val="Heading2"/>
      </w:pPr>
      <w:r>
        <w:t>高风险缺失条款</w:t>
      </w:r>
    </w:p>
    <w:p>
      <w:r>
        <w:t>____________________________________________________________________________________________________________</w:t>
      </w:r>
    </w:p>
    <w:p>
      <w:r>
        <w:t>____________________________________________________________________________________________________________</w:t>
      </w:r>
    </w:p>
    <w:p>
      <w:r>
        <w:t>____________________________________________________________________________________________________________</w:t>
      </w:r>
    </w:p>
    <w:p>
      <w:pPr>
        <w:pStyle w:val="Heading2"/>
      </w:pPr>
      <w:r>
        <w:t>应优先修改的章程条款</w:t>
      </w:r>
    </w:p>
    <w:p>
      <w:r>
        <w:t>____________________________________________________________________________________________________________</w:t>
      </w:r>
    </w:p>
    <w:p>
      <w:r>
        <w:t>____________________________________________________________________________________________________________</w:t>
      </w:r>
    </w:p>
    <w:p>
      <w:r>
        <w:t>____________________________________________________________________________________________________________</w:t>
      </w:r>
    </w:p>
    <w:p>
      <w:pPr>
        <w:pStyle w:val="Heading2"/>
      </w:pPr>
      <w:r>
        <w:t>需要同步修改的股东协议或内部制度</w:t>
      </w:r>
    </w:p>
    <w:p>
      <w:r>
        <w:t>____________________________________________________________________________________________________________</w:t>
      </w:r>
    </w:p>
    <w:p>
      <w:r>
        <w:t>____________________________________________________________________________________________________________</w:t>
      </w:r>
    </w:p>
    <w:p>
      <w:r>
        <w:t>____________________________________________________________________________________________________________</w:t>
      </w:r>
    </w:p>
    <w:p>
      <w:pPr>
        <w:pStyle w:val="Heading2"/>
      </w:pPr>
      <w:r>
        <w:t>股东会审议及工商变更计划</w:t>
      </w:r>
    </w:p>
    <w:p>
      <w:r>
        <w:t>____________________________________________________________________________________________________________</w:t>
      </w:r>
    </w:p>
    <w:p>
      <w:r>
        <w:t>____________________________________________________________________________________________________________</w:t>
      </w:r>
    </w:p>
    <w:p>
      <w:pPr>
        <w:pStyle w:val="Heading1"/>
      </w:pPr>
      <w:r>
        <w:t>七、使用边界与编制依据</w:t>
      </w:r>
    </w:p>
    <w:p>
      <w:r>
        <w:t>本工具用于企业内部自查、首次访谈和项目范围识别，不能替代针对具体企业的法律、财务、税务及交易判断。勾选“是”不当然表示不存在风险；勾选“否”也需要结合文件效力、形成过程和执行情况判断。</w:t>
      </w:r>
    </w:p>
    <w:p>
      <w:r>
        <w:t>编制口径主要参考现行《中华人民共和国公司法》、相关公司法司法解释和《最高人民法院关于民事诉讼证据的若干规定》，并结合企业股权架构、公司治理、股权激励、投融资与股东纠纷的实务场景。</w:t>
      </w:r>
    </w:p>
    <w:p>
      <w:r>
        <w:t>专业提示：股权方案应当做到股东能够理解、企业能够执行、未来能够调整、发生问题时能够处理。</w:t>
      </w:r>
    </w:p>
    <w:sectPr w:rsidR="00FC693F" w:rsidRPr="0006063C" w:rsidSect="00034616">
      <w:headerReference w:type="default" r:id="rId9"/>
      <w:footerReference w:type="default" r:id="rId10"/>
      <w:pgSz w:w="16838" w:h="11906" w:orient="landscape"/>
      <w:pgMar w:top="850" w:right="822" w:bottom="765" w:left="822" w:header="340" w:footer="34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Noto Sans CJK SC" w:hAnsi="Noto Sans CJK SC" w:eastAsia="Noto Sans CJK SC"/>
        <w:color w:val="666666"/>
        <w:sz w:val="15"/>
      </w:rPr>
      <w:t>仅供企业自查与项目沟通使用，不构成针对具体事项的正式法律意见。</w:t>
    </w:r>
  </w:p>
  <w:p>
    <w:pPr>
      <w:jc w:val="right"/>
    </w:pPr>
    <w:r>
      <w:rPr>
        <w:rFonts w:ascii="Noto Sans CJK SC" w:hAnsi="Noto Sans CJK SC" w:eastAsia="Noto Sans CJK SC"/>
        <w:color w:val="666666"/>
        <w:sz w:val="16"/>
      </w:rPr>
      <w:t xml:space="preserve">第 </w:t>
      <w:fldChar w:fldCharType="begin"/>
      <w:instrText xml:space="preserve">PAGE</w:instrText>
      <w:fldChar w:fldCharType="end"/>
    </w:r>
    <w:r>
      <w:rPr>
        <w:rFonts w:ascii="Noto Sans CJK SC" w:hAnsi="Noto Sans CJK SC" w:eastAsia="Noto Sans CJK SC"/>
        <w:color w:val="666666"/>
        <w:sz w:val="16"/>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Noto Sans CJK SC" w:hAnsi="Noto Sans CJK SC" w:eastAsia="Noto Sans CJK SC"/>
        <w:color w:val="666666"/>
        <w:sz w:val="16"/>
      </w:rPr>
      <w:t>陈辉律师·企业股权治理    |    公众号：陈律聊股权</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80"/>
    </w:pPr>
    <w:rPr>
      <w:rFonts w:ascii="Noto Sans CJK SC" w:hAnsi="Noto Sans CJK SC" w:eastAsia="Noto Sans CJK S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Noto Sans CJK SC" w:hAnsi="Noto Sans CJK SC" w:eastAsia="Noto Sans CJK SC"/>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Noto Sans CJK SC" w:hAnsi="Noto Sans CJK SC" w:eastAsia="Noto Sans CJK SC"/>
      <w:b/>
      <w:bCs/>
      <w:color w:val="2F5D7C"/>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Noto Sans CJK SC" w:hAnsi="Noto Sans CJK SC" w:eastAsia="Noto Sans CJK SC"/>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160"/>
      <w:contextualSpacing/>
    </w:pPr>
    <w:rPr>
      <w:rFonts w:asciiTheme="majorHAnsi" w:eastAsiaTheme="majorEastAsia" w:hAnsiTheme="majorHAnsi" w:cstheme="majorBidi" w:ascii="Noto Sans CJK SC" w:hAnsi="Noto Sans CJK SC" w:eastAsia="Noto Sans CJK SC"/>
      <w:b/>
      <w:color w:val="17324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ns0:Properties xmlns:ns0="http://schemas.openxmlformats.org/officeDocument/2006/extended-properties" xmlns:ns1="http://schemas.openxmlformats.org/officeDocument/2006/docPropsVTypes">
  <ns0:Template/>
  <ns0:TotalTime>0</ns0:TotalTime>
  <ns0:Pages>1</ns0:Pages>
  <ns0:Words>0</ns0:Words>
  <ns0:Characters>0</ns0:Characters>
  <ns0:Application>Microsoft Macintosh Word</ns0:Application>
  <ns0:DocSecurity>0</ns0:DocSecurity>
  <ns0:Lines>0</ns0:Lines>
  <ns0:Paragraphs>0</ns0:Paragraphs>
  <ns0:ScaleCrop>false</ns0:ScaleCrop>
  <ns0:HeadingPairs>
    <ns1:vector size="2" baseType="variant">
      <ns1:variant>
        <ns1:lpstr>Title</ns1:lpstr>
      </ns1:variant>
      <ns1:variant>
        <ns1:i4>1</ns1:i4>
      </ns1:variant>
    </ns1:vector>
  </ns0:HeadingPairs>
  <ns0:TitlesOfParts>
    <ns1:vector size="1" baseType="lpstr">
      <ns1:lpstr/>
    </ns1:vector>
  </ns0:TitlesOfParts>
  <ns0:Manager/>
  <ns0:Company/>
  <ns0:LinksUpToDate>false</ns0:LinksUpToDate>
  <ns0:CharactersWithSpaces>0</ns0:CharactersWithSpaces>
  <ns0:SharedDoc>false</ns0:SharedDoc>
  <ns0:HyperlinkBase/>
  <ns0:HyperlinksChanged>false</ns0:HyperlinksChanged>
  <ns0:AppVersion>14.0000</ns0:AppVersion>
</ns0: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股权治理实务法律工具箱</dc:subject>
  <dc:creator>陈辉律师</dc:creator>
  <cp:keywords>股权治理,公司治理,法律工具</cp:keywords>
  <dc:description/>
  <cp:lastModifiedBy/>
  <cp:revision>1</cp:revision>
  <dcterms:created xsi:type="dcterms:W3CDTF">2013-12-23T23:15:00Z</dcterms:created>
  <dcterms:modified xsi:type="dcterms:W3CDTF">2013-12-23T23:15:00Z</dcterms:modified>
  <cp:category>股权治理法律工具</cp:category>
  <cp:contentStatus>公开工具</cp:contentStatus>
  <dc:identifier/>
  <dc:language>zh-CN</dc:language>
</cp:coreProperties>
</file>