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Noto Sans CJK SC" w:hAnsi="Noto Sans CJK SC" w:eastAsia="Noto Sans CJK SC"/>
          <w:b/>
          <w:color w:val="17365D"/>
          <w:sz w:val="48"/>
        </w:rPr>
        <w:t>跨境股权架构设计｜咨询前15问</w:t>
      </w:r>
    </w:p>
    <w:p>
      <w:pPr>
        <w:jc w:val="center"/>
      </w:pPr>
      <w:r>
        <w:rPr>
          <w:rFonts w:ascii="Noto Sans CJK SC" w:hAnsi="Noto Sans CJK SC" w:eastAsia="Noto Sans CJK SC"/>
          <w:b w:val="0"/>
          <w:color w:val="1F2937"/>
          <w:sz w:val="24"/>
        </w:rPr>
        <w:t>个人网站详情页咨询入口版</w:t>
      </w:r>
    </w:p>
    <w:p>
      <w:pPr>
        <w:spacing w:before="360"/>
        <w:jc w:val="center"/>
      </w:pPr>
      <w:r>
        <w:rPr>
          <w:rFonts w:ascii="Noto Sans CJK SC" w:hAnsi="Noto Sans CJK SC" w:eastAsia="Noto Sans CJK SC"/>
          <w:b w:val="0"/>
          <w:color w:val="8A6D3B"/>
          <w:sz w:val="21"/>
        </w:rPr>
        <w:t>跨境股权架构设计｜律师实务工具</w:t>
      </w:r>
    </w:p>
    <w:p>
      <w:pPr>
        <w:spacing w:before="2200"/>
        <w:jc w:val="center"/>
      </w:pPr>
      <w:r>
        <w:rPr>
          <w:rFonts w:ascii="Noto Sans CJK SC" w:hAnsi="Noto Sans CJK SC" w:eastAsia="Noto Sans CJK SC"/>
          <w:b w:val="0"/>
          <w:color w:val="666666"/>
          <w:sz w:val="19"/>
        </w:rPr>
        <w:t>资料基准日：2026年8月20日</w:t>
      </w:r>
    </w:p>
    <w:p>
      <w:pPr>
        <w:jc w:val="center"/>
      </w:pPr>
      <w:r>
        <w:rPr>
          <w:rFonts w:ascii="Noto Sans CJK SC" w:hAnsi="Noto Sans CJK SC" w:eastAsia="Noto Sans CJK SC"/>
          <w:b w:val="0"/>
          <w:color w:val="777777"/>
          <w:sz w:val="18"/>
        </w:rPr>
        <w:t>注：具体项目应结合最新法律政策、银行口径及目标法域专业意见复核。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rPr>
          <w:cantSplit w:val="true"/>
        </w:trPr>
        <w:tc>
          <w:tcPr>
            <w:tcW w:type="dxa" w:w="10200"/>
            <w:shd w:fill="EAF1F8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2"/>
              </w:rPr>
              <w:t>页面使用说明</w:t>
              <w:br/>
            </w:r>
            <w:r>
              <w:rPr>
                <w:rFonts w:ascii="Noto Sans CJK SC" w:hAnsi="Noto Sans CJK SC" w:eastAsia="Noto Sans CJK SC"/>
                <w:b w:val="0"/>
                <w:color w:val="1F2937"/>
                <w:sz w:val="20"/>
              </w:rPr>
              <w:t>建议放在“预约跨境股权架构沟通”按钮之前或作为点击后的简易问卷。客户不需要懂ODI、37号文或国际税收，只需要把基本事实说清楚。收到这15项信息后，律师通常已经可以判断第一次沟通应重点解决什么。</w:t>
            </w:r>
          </w:p>
        </w:tc>
      </w:tr>
    </w:tbl>
    <w:p/>
    <w:p>
      <w:pPr>
        <w:pStyle w:val="Heading1"/>
      </w:pPr>
      <w:r>
        <w:t>为什么建议咨询前先回答这15个问题？</w:t>
      </w:r>
    </w:p>
    <w:p>
      <w:r>
        <w:rPr>
          <w:rFonts w:ascii="Noto Sans CJK SC" w:hAnsi="Noto Sans CJK SC" w:eastAsia="Noto Sans CJK SC"/>
          <w:sz w:val="21"/>
        </w:rPr>
        <w:t>跨境股权架构最怕一开始只问“香港、新加坡还是BVI哪个好”。真正决定架构的，是谁投资、钱在哪里、业务去哪里、未来要不要融资、是否回投中国以及最终怎么退出。您可以用3—5分钟完成以下问题。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1. 谁准备进行这次境外投资？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填写提示：中国居民个人 / 中国境内企业 / 香港或其他境外主体 / 多个主体共同投资。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2. 最终实际控制人是谁？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填写提示：请写明最终老板或实际控制人的基本身份；如有多名创始人，也请说明。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3. 目前国内已经有哪些主要公司？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填写提示：列出与本次项目有关的核心公司、主要股东及大致持股比例即可。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4. 目前是否已经有香港、新加坡、BVI、Cayman或其他境外公司？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填写提示：如有，请写明公司所在地、股东及主要用途。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5. 本次跨境架构最主要想解决什么问题？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填写提示：例如：出海经营、海外投资、融资、并购、员工激励、返程投资、境外上市、家族传承等。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6. 计划主要到哪些国家或地区开展业务或投资？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填写提示：例如香港、新加坡、越南、泰国、印尼、美国、欧洲等。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7. 预计首期投资金额大约是多少？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填写提示：可填区间，如100万元以内、100万—1000万元、1000万元以上，或直接填写金额。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8. 准备用于投资的钱目前主要在哪里？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填写提示：中国境内人民币账户 / 境内外币账户 / 香港或其他境外账户 / 已有合法境外资产。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9. 资金主要来源是什么？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填写提示：例如企业经营积累、个人合法收入、境外经营收益、股权转让款、融资款等。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10. 是否需要境外公司再投资或收购中国境内企业？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填写提示：如果是，请说明拟投资的中国公司及所在行业。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11. 三年内是否计划引入VC/PE或其他外部投资人？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填写提示：是 / 否 / 尚未确定；如已接触投资人，可简要说明融资计划。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12. 是否准备给中国或境外核心员工做股权激励？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填写提示：如有，请说明员工主要在哪些国家或地区。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13. 是否考虑未来在香港、美国或其他境外资本市场上市？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填写提示：是 / 否 / 尚未确定。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14. 未来利润主要准备怎么处理？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填写提示：长期留在海外继续投资 / 定期分红回中国 / 暂未确定。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spacing w:before="140" w:after="40"/>
      </w:pPr>
      <w:r>
        <w:rPr>
          <w:rFonts w:ascii="Noto Sans CJK SC" w:hAnsi="Noto Sans CJK SC" w:eastAsia="Noto Sans CJK SC"/>
          <w:b/>
          <w:color w:val="17365D"/>
          <w:sz w:val="22"/>
        </w:rPr>
        <w:t>15. 您希望未来主要通过什么方式实现退出或收益？</w:t>
      </w:r>
    </w:p>
    <w:p>
      <w:pPr>
        <w:spacing w:after="100"/>
        <w:ind w:left="170"/>
      </w:pPr>
      <w:r>
        <w:rPr>
          <w:rFonts w:ascii="Noto Sans CJK SC" w:hAnsi="Noto Sans CJK SC" w:eastAsia="Noto Sans CJK SC"/>
          <w:b w:val="0"/>
          <w:color w:val="666666"/>
          <w:sz w:val="19"/>
        </w:rPr>
        <w:t>填写提示：企业分红 / 出售境外业务 / 出售集团股权 / IPO / 家族长期持有 / 尚未确定。</w:t>
      </w:r>
    </w:p>
    <w:p>
      <w:pPr>
        <w:spacing w:after="80"/>
        <w:ind w:left="170"/>
      </w:pPr>
      <w:r>
        <w:rPr>
          <w:rFonts w:ascii="Noto Sans CJK SC" w:hAnsi="Noto Sans CJK SC" w:eastAsia="Noto Sans CJK SC"/>
          <w:b w:val="0"/>
          <w:color w:val="1F2937"/>
          <w:sz w:val="20"/>
        </w:rPr>
        <w:t>您的情况：____________________________________________</w:t>
      </w:r>
    </w:p>
    <w:p>
      <w:pPr>
        <w:pStyle w:val="Heading1"/>
      </w:pPr>
      <w:r>
        <w:t>提交后，我们通常先判断四件事</w:t>
      </w:r>
    </w:p>
    <w:p>
      <w:pPr>
        <w:pStyle w:val="ListBullet"/>
        <w:ind w:left="255" w:hanging="113"/>
      </w:pPr>
      <w:r>
        <w:rPr>
          <w:rFonts w:ascii="Noto Sans CJK SC" w:hAnsi="Noto Sans CJK SC" w:eastAsia="Noto Sans CJK SC"/>
          <w:sz w:val="20"/>
        </w:rPr>
        <w:t>是否涉及中国企业ODI、居民个人特殊目的公司登记、资金出境或返程投资问题；</w:t>
      </w:r>
    </w:p>
    <w:p>
      <w:pPr>
        <w:pStyle w:val="ListBullet"/>
        <w:ind w:left="255" w:hanging="113"/>
      </w:pPr>
      <w:r>
        <w:rPr>
          <w:rFonts w:ascii="Noto Sans CJK SC" w:hAnsi="Noto Sans CJK SC" w:eastAsia="Noto Sans CJK SC"/>
          <w:sz w:val="20"/>
        </w:rPr>
        <w:t>香港、新加坡、BVI、Cayman或海南中的哪一层真正有必要；</w:t>
      </w:r>
    </w:p>
    <w:p>
      <w:pPr>
        <w:pStyle w:val="ListBullet"/>
        <w:ind w:left="255" w:hanging="113"/>
      </w:pPr>
      <w:r>
        <w:rPr>
          <w:rFonts w:ascii="Noto Sans CJK SC" w:hAnsi="Noto Sans CJK SC" w:eastAsia="Noto Sans CJK SC"/>
          <w:sz w:val="20"/>
        </w:rPr>
        <w:t>融资、股权激励、控制权和未来退出应该放在哪一层设计；</w:t>
      </w:r>
    </w:p>
    <w:p>
      <w:pPr>
        <w:pStyle w:val="ListBullet"/>
        <w:ind w:left="255" w:hanging="113"/>
      </w:pPr>
      <w:r>
        <w:rPr>
          <w:rFonts w:ascii="Noto Sans CJK SC" w:hAnsi="Noto Sans CJK SC" w:eastAsia="Noto Sans CJK SC"/>
          <w:sz w:val="20"/>
        </w:rPr>
        <w:t>哪些税务、境外公司法或目标国FDI问题需要同时由税务师或当地律师介入。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rPr>
          <w:cantSplit w:val="true"/>
        </w:trPr>
        <w:tc>
          <w:tcPr>
            <w:tcW w:type="dxa" w:w="10200"/>
            <w:shd w:fill="EAF1F8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2"/>
              </w:rPr>
              <w:t>咨询提示</w:t>
              <w:br/>
            </w:r>
            <w:r>
              <w:rPr>
                <w:rFonts w:ascii="Noto Sans CJK SC" w:hAnsi="Noto Sans CJK SC" w:eastAsia="Noto Sans CJK SC"/>
                <w:b w:val="0"/>
                <w:color w:val="1F2937"/>
                <w:sz w:val="20"/>
              </w:rPr>
              <w:t>跨境架构不是公司层数越多越好。正式设计前，我们会先判断每一层是否具有真实商业目的、资金是否能够合法流转，以及未来分红、出售或上市时能否顺利退出。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color w:val="999999"/>
        <w:sz w:val="16"/>
      </w:rPr>
      <w:t>法律服务工作底稿｜截至2026年8月20日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777777"/>
        <w:sz w:val="17"/>
      </w:rPr>
      <w:t>跨境股权架构设计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00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293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8A6D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