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Noto Sans CJK SC" w:hAnsi="Noto Sans CJK SC" w:eastAsia="Noto Sans CJK SC"/>
          <w:b/>
          <w:color w:val="17365D"/>
          <w:sz w:val="44"/>
        </w:rPr>
        <w:t>企业成长陪跑基础工具箱</w:t>
      </w:r>
    </w:p>
    <w:p>
      <w:pPr>
        <w:spacing w:after="200"/>
        <w:jc w:val="center"/>
      </w:pPr>
      <w:r>
        <w:rPr>
          <w:rFonts w:ascii="Noto Sans CJK SC" w:hAnsi="Noto Sans CJK SC" w:eastAsia="Noto Sans CJK SC"/>
          <w:b w:val="0"/>
          <w:color w:val="2F75B5"/>
          <w:sz w:val="21"/>
        </w:rPr>
        <w:t>老板3分钟自测版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40"/>
      </w:tblGrid>
      <w:tr>
        <w:tc>
          <w:tcPr>
            <w:tcW w:type="dxa" w:w="10540"/>
            <w:shd w:fill="EEF5FB"/>
            <w:tcMar>
              <w:top w:w="100" w:type="dxa"/>
              <w:bottom w:w="100" w:type="dxa"/>
              <w:start w:w="130" w:type="dxa"/>
              <w:end w:w="13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17365D"/>
                <w:sz w:val="21"/>
              </w:rPr>
              <w:t>使用方法：</w:t>
            </w:r>
            <w:r>
              <w:rPr>
                <w:rFonts w:ascii="Noto Sans CJK SC" w:hAnsi="Noto Sans CJK SC" w:eastAsia="Noto Sans CJK SC"/>
                <w:b w:val="0"/>
                <w:color w:val="222222"/>
                <w:sz w:val="21"/>
              </w:rPr>
              <w:t>请老板或项目负责人根据企业真实情况勾选。一般3—5分钟即可完成。</w:t>
            </w:r>
          </w:p>
        </w:tc>
      </w:tr>
    </w:tbl>
    <w:p>
      <w:pPr>
        <w:pStyle w:val="Heading1"/>
      </w:pPr>
      <w:r>
        <w:rPr>
          <w:rFonts w:ascii="Noto Sans CJK SC" w:hAnsi="Noto Sans CJK SC" w:eastAsia="Noto Sans CJK SC"/>
        </w:rPr>
        <w:t>一、基本信息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2381"/>
            <w:shd w:fill="D9EAF7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17365D"/>
                <w:sz w:val="21"/>
              </w:rPr>
              <w:t>企业名称</w:t>
            </w:r>
          </w:p>
        </w:tc>
        <w:tc>
          <w:tcPr>
            <w:tcW w:type="dxa" w:w="6690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22222"/>
                <w:sz w:val="21"/>
              </w:rPr>
            </w:r>
          </w:p>
        </w:tc>
      </w:tr>
      <w:tr>
        <w:tc>
          <w:tcPr>
            <w:tcW w:type="dxa" w:w="2381"/>
            <w:shd w:fill="D9EAF7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17365D"/>
                <w:sz w:val="21"/>
              </w:rPr>
              <w:t>当前阶段</w:t>
            </w:r>
          </w:p>
        </w:tc>
        <w:tc>
          <w:tcPr>
            <w:tcW w:type="dxa" w:w="6690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22222"/>
                <w:sz w:val="21"/>
              </w:rPr>
              <w:t>□ 初创期  □ 快速成长期  □ 规模扩张期  □ 转型期</w:t>
            </w:r>
          </w:p>
        </w:tc>
      </w:tr>
      <w:tr>
        <w:tc>
          <w:tcPr>
            <w:tcW w:type="dxa" w:w="2381"/>
            <w:shd w:fill="D9EAF7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17365D"/>
                <w:sz w:val="21"/>
              </w:rPr>
              <w:t>未来12个月目标</w:t>
            </w:r>
          </w:p>
        </w:tc>
        <w:tc>
          <w:tcPr>
            <w:tcW w:type="dxa" w:w="6690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22222"/>
                <w:sz w:val="21"/>
              </w:rPr>
            </w:r>
          </w:p>
        </w:tc>
      </w:tr>
      <w:tr>
        <w:tc>
          <w:tcPr>
            <w:tcW w:type="dxa" w:w="2381"/>
            <w:shd w:fill="D9EAF7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17365D"/>
                <w:sz w:val="21"/>
              </w:rPr>
              <w:t>目前最头痛的问题</w:t>
            </w:r>
          </w:p>
        </w:tc>
        <w:tc>
          <w:tcPr>
            <w:tcW w:type="dxa" w:w="6690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22222"/>
                <w:sz w:val="21"/>
              </w:rPr>
            </w:r>
          </w:p>
        </w:tc>
      </w:tr>
    </w:tbl>
    <w:p>
      <w:pPr>
        <w:pStyle w:val="Heading1"/>
      </w:pPr>
      <w:r>
        <w:rPr>
          <w:rFonts w:ascii="Noto Sans CJK SC" w:hAnsi="Noto Sans CJK SC" w:eastAsia="Noto Sans CJK SC"/>
        </w:rPr>
        <w:t>二、核心自测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623"/>
            <w:shd w:fill="17365D"/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序号</w:t>
            </w:r>
          </w:p>
        </w:tc>
        <w:tc>
          <w:tcPr>
            <w:tcW w:type="dxa" w:w="6350"/>
            <w:shd w:fill="17365D"/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核心问题</w:t>
            </w:r>
          </w:p>
        </w:tc>
        <w:tc>
          <w:tcPr>
            <w:tcW w:type="dxa" w:w="963"/>
            <w:shd w:fill="17365D"/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是</w:t>
            </w:r>
          </w:p>
        </w:tc>
        <w:tc>
          <w:tcPr>
            <w:tcW w:type="dxa" w:w="1134"/>
            <w:shd w:fill="17365D"/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否/不清楚</w:t>
            </w:r>
          </w:p>
        </w:tc>
      </w:tr>
      <w:tr>
        <w:tc>
          <w:tcPr>
            <w:tcW w:type="dxa" w:w="623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1</w:t>
            </w:r>
          </w:p>
        </w:tc>
        <w:tc>
          <w:tcPr>
            <w:tcW w:type="dxa" w:w="6350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公司的年度目标、老板重点和团队重点基本一致。</w:t>
            </w:r>
          </w:p>
        </w:tc>
        <w:tc>
          <w:tcPr>
            <w:tcW w:type="dxa" w:w="963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□</w:t>
            </w:r>
          </w:p>
        </w:tc>
        <w:tc>
          <w:tcPr>
            <w:tcW w:type="dxa" w:w="1134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□</w:t>
            </w:r>
          </w:p>
        </w:tc>
      </w:tr>
      <w:tr>
        <w:tc>
          <w:tcPr>
            <w:tcW w:type="dxa" w:w="623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2</w:t>
            </w:r>
          </w:p>
        </w:tc>
        <w:tc>
          <w:tcPr>
            <w:tcW w:type="dxa" w:w="6350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股东之间对分工、决策、分钱和退出有明确规则。</w:t>
            </w:r>
          </w:p>
        </w:tc>
        <w:tc>
          <w:tcPr>
            <w:tcW w:type="dxa" w:w="963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□</w:t>
            </w:r>
          </w:p>
        </w:tc>
        <w:tc>
          <w:tcPr>
            <w:tcW w:type="dxa" w:w="1134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□</w:t>
            </w:r>
          </w:p>
        </w:tc>
      </w:tr>
      <w:tr>
        <w:tc>
          <w:tcPr>
            <w:tcW w:type="dxa" w:w="623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3</w:t>
            </w:r>
          </w:p>
        </w:tc>
        <w:tc>
          <w:tcPr>
            <w:tcW w:type="dxa" w:w="6350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老板对重大事项、印章、账户和核心人事仍有稳定控制。</w:t>
            </w:r>
          </w:p>
        </w:tc>
        <w:tc>
          <w:tcPr>
            <w:tcW w:type="dxa" w:w="963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□</w:t>
            </w:r>
          </w:p>
        </w:tc>
        <w:tc>
          <w:tcPr>
            <w:tcW w:type="dxa" w:w="1134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□</w:t>
            </w:r>
          </w:p>
        </w:tc>
      </w:tr>
      <w:tr>
        <w:tc>
          <w:tcPr>
            <w:tcW w:type="dxa" w:w="623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4</w:t>
            </w:r>
          </w:p>
        </w:tc>
        <w:tc>
          <w:tcPr>
            <w:tcW w:type="dxa" w:w="6350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核心员工的工资、奖金、分红和长期激励已经区分清楚。</w:t>
            </w:r>
          </w:p>
        </w:tc>
        <w:tc>
          <w:tcPr>
            <w:tcW w:type="dxa" w:w="963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□</w:t>
            </w:r>
          </w:p>
        </w:tc>
        <w:tc>
          <w:tcPr>
            <w:tcW w:type="dxa" w:w="1134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□</w:t>
            </w:r>
          </w:p>
        </w:tc>
      </w:tr>
      <w:tr>
        <w:tc>
          <w:tcPr>
            <w:tcW w:type="dxa" w:w="623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5</w:t>
            </w:r>
          </w:p>
        </w:tc>
        <w:tc>
          <w:tcPr>
            <w:tcW w:type="dxa" w:w="6350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主要客户、供应商和合作伙伴的合同能够覆盖核心风险。</w:t>
            </w:r>
          </w:p>
        </w:tc>
        <w:tc>
          <w:tcPr>
            <w:tcW w:type="dxa" w:w="963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□</w:t>
            </w:r>
          </w:p>
        </w:tc>
        <w:tc>
          <w:tcPr>
            <w:tcW w:type="dxa" w:w="1134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□</w:t>
            </w:r>
          </w:p>
        </w:tc>
      </w:tr>
      <w:tr>
        <w:tc>
          <w:tcPr>
            <w:tcW w:type="dxa" w:w="623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6</w:t>
            </w:r>
          </w:p>
        </w:tc>
        <w:tc>
          <w:tcPr>
            <w:tcW w:type="dxa" w:w="6350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公司与老板个人之间的资金往来、报销、借款和分红比较规范。</w:t>
            </w:r>
          </w:p>
        </w:tc>
        <w:tc>
          <w:tcPr>
            <w:tcW w:type="dxa" w:w="963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□</w:t>
            </w:r>
          </w:p>
        </w:tc>
        <w:tc>
          <w:tcPr>
            <w:tcW w:type="dxa" w:w="1134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□</w:t>
            </w:r>
          </w:p>
        </w:tc>
      </w:tr>
      <w:tr>
        <w:tc>
          <w:tcPr>
            <w:tcW w:type="dxa" w:w="623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7</w:t>
            </w:r>
          </w:p>
        </w:tc>
        <w:tc>
          <w:tcPr>
            <w:tcW w:type="dxa" w:w="6350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每月至少有一次管理复盘，重大风险有负责人和完成期限。</w:t>
            </w:r>
          </w:p>
        </w:tc>
        <w:tc>
          <w:tcPr>
            <w:tcW w:type="dxa" w:w="963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□</w:t>
            </w:r>
          </w:p>
        </w:tc>
        <w:tc>
          <w:tcPr>
            <w:tcW w:type="dxa" w:w="1134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□</w:t>
            </w:r>
          </w:p>
        </w:tc>
      </w:tr>
      <w:tr>
        <w:tc>
          <w:tcPr>
            <w:tcW w:type="dxa" w:w="623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8</w:t>
            </w:r>
          </w:p>
        </w:tc>
        <w:tc>
          <w:tcPr>
            <w:tcW w:type="dxa" w:w="6350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融资、并购、股权激励等重大项目不会临时决定、仓促实施。</w:t>
            </w:r>
          </w:p>
        </w:tc>
        <w:tc>
          <w:tcPr>
            <w:tcW w:type="dxa" w:w="963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□</w:t>
            </w:r>
          </w:p>
        </w:tc>
        <w:tc>
          <w:tcPr>
            <w:tcW w:type="dxa" w:w="1134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□</w:t>
            </w:r>
          </w:p>
        </w:tc>
      </w:tr>
    </w:tbl>
    <w:p>
      <w:pPr>
        <w:pStyle w:val="Heading1"/>
        <w:pageBreakBefore/>
      </w:pPr>
      <w:r>
        <w:rPr>
          <w:rFonts w:ascii="Noto Sans CJK SC" w:hAnsi="Noto Sans CJK SC" w:eastAsia="Noto Sans CJK SC"/>
        </w:rPr>
        <w:t>三、结果判断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1814"/>
            <w:shd w:fill="17365D"/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“否/不清楚”数量</w:t>
            </w:r>
          </w:p>
        </w:tc>
        <w:tc>
          <w:tcPr>
            <w:tcW w:type="dxa" w:w="2381"/>
            <w:shd w:fill="17365D"/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初步判断</w:t>
            </w:r>
          </w:p>
        </w:tc>
        <w:tc>
          <w:tcPr>
            <w:tcW w:type="dxa" w:w="4309"/>
            <w:shd w:fill="17365D"/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建议</w:t>
            </w:r>
          </w:p>
        </w:tc>
      </w:tr>
      <w:tr>
        <w:tc>
          <w:tcPr>
            <w:tcW w:type="dxa" w:w="1814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0—1项</w:t>
            </w:r>
          </w:p>
        </w:tc>
        <w:tc>
          <w:tcPr>
            <w:tcW w:type="dxa" w:w="2381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治理基础较好</w:t>
            </w:r>
          </w:p>
        </w:tc>
        <w:tc>
          <w:tcPr>
            <w:tcW w:type="dxa" w:w="4309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适合通过陪跑持续优化和支持增长。</w:t>
            </w:r>
          </w:p>
        </w:tc>
      </w:tr>
      <w:tr>
        <w:tc>
          <w:tcPr>
            <w:tcW w:type="dxa" w:w="1814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2—3项</w:t>
            </w:r>
          </w:p>
        </w:tc>
        <w:tc>
          <w:tcPr>
            <w:tcW w:type="dxa" w:w="2381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制度落后于业务</w:t>
            </w:r>
          </w:p>
        </w:tc>
        <w:tc>
          <w:tcPr>
            <w:tcW w:type="dxa" w:w="4309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建议先处理股权、治理或核心人才中的重点问题。</w:t>
            </w:r>
          </w:p>
        </w:tc>
      </w:tr>
      <w:tr>
        <w:tc>
          <w:tcPr>
            <w:tcW w:type="dxa" w:w="1814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4项以上</w:t>
            </w:r>
          </w:p>
        </w:tc>
        <w:tc>
          <w:tcPr>
            <w:tcW w:type="dxa" w:w="2381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成长风险较高</w:t>
            </w:r>
          </w:p>
        </w:tc>
        <w:tc>
          <w:tcPr>
            <w:tcW w:type="dxa" w:w="4309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扩张前应先补规则，否则业务越大，内部矛盾越容易放大。</w:t>
            </w:r>
          </w:p>
        </w:tc>
      </w:tr>
    </w:tbl>
    <w:p>
      <w:pPr>
        <w:pStyle w:val="Heading1"/>
      </w:pPr>
      <w:r>
        <w:rPr>
          <w:rFonts w:ascii="Noto Sans CJK SC" w:hAnsi="Noto Sans CJK SC" w:eastAsia="Noto Sans CJK SC"/>
        </w:rPr>
        <w:t>四、老板下一步只做三件事</w:t>
      </w:r>
    </w:p>
    <w:p>
      <w:r>
        <w:rPr>
          <w:rFonts w:ascii="Noto Sans CJK SC" w:hAnsi="Noto Sans CJK SC" w:eastAsia="Noto Sans CJK SC"/>
          <w:b/>
          <w:color w:val="2F75B5"/>
          <w:sz w:val="21"/>
        </w:rPr>
        <w:t xml:space="preserve">1. </w:t>
      </w:r>
      <w:r>
        <w:rPr>
          <w:rFonts w:ascii="Noto Sans CJK SC" w:hAnsi="Noto Sans CJK SC" w:eastAsia="Noto Sans CJK SC"/>
          <w:b w:val="0"/>
          <w:color w:val="222222"/>
          <w:sz w:val="21"/>
        </w:rPr>
        <w:t>选出未来90天必须解决的三个问题，不要同时铺开太多项目。</w:t>
      </w:r>
    </w:p>
    <w:p>
      <w:r>
        <w:rPr>
          <w:rFonts w:ascii="Noto Sans CJK SC" w:hAnsi="Noto Sans CJK SC" w:eastAsia="Noto Sans CJK SC"/>
          <w:b/>
          <w:color w:val="2F75B5"/>
          <w:sz w:val="21"/>
        </w:rPr>
        <w:t xml:space="preserve">2. </w:t>
      </w:r>
      <w:r>
        <w:rPr>
          <w:rFonts w:ascii="Noto Sans CJK SC" w:hAnsi="Noto Sans CJK SC" w:eastAsia="Noto Sans CJK SC"/>
          <w:b w:val="0"/>
          <w:color w:val="222222"/>
          <w:sz w:val="21"/>
        </w:rPr>
        <w:t>建立每月一次的股权、治理和重大事项复盘会议。</w:t>
      </w:r>
    </w:p>
    <w:p>
      <w:r>
        <w:rPr>
          <w:rFonts w:ascii="Noto Sans CJK SC" w:hAnsi="Noto Sans CJK SC" w:eastAsia="Noto Sans CJK SC"/>
          <w:b/>
          <w:color w:val="2F75B5"/>
          <w:sz w:val="21"/>
        </w:rPr>
        <w:t xml:space="preserve">3. </w:t>
      </w:r>
      <w:r>
        <w:rPr>
          <w:rFonts w:ascii="Noto Sans CJK SC" w:hAnsi="Noto Sans CJK SC" w:eastAsia="Noto Sans CJK SC"/>
          <w:b w:val="0"/>
          <w:color w:val="222222"/>
          <w:sz w:val="21"/>
        </w:rPr>
        <w:t>把每个问题落实到具体负责人、成果和完成日期。</w:t>
      </w:r>
    </w:p>
    <w:p>
      <w:pPr>
        <w:pStyle w:val="Heading1"/>
      </w:pPr>
      <w:r>
        <w:rPr>
          <w:rFonts w:ascii="Noto Sans CJK SC" w:hAnsi="Noto Sans CJK SC" w:eastAsia="Noto Sans CJK SC"/>
        </w:rPr>
        <w:t>五、初步结论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2381"/>
            <w:shd w:fill="D9EAF7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17365D"/>
                <w:sz w:val="21"/>
              </w:rPr>
              <w:t>当前判断</w:t>
            </w:r>
          </w:p>
        </w:tc>
        <w:tc>
          <w:tcPr>
            <w:tcW w:type="dxa" w:w="6690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22222"/>
                <w:sz w:val="21"/>
              </w:rPr>
              <w:t>□ 暂不需要专项服务  □ 建议补充资料后复评  □ 建议开展专项诊断</w:t>
            </w:r>
          </w:p>
        </w:tc>
      </w:tr>
      <w:tr>
        <w:tc>
          <w:tcPr>
            <w:tcW w:type="dxa" w:w="2381"/>
            <w:shd w:fill="D9EAF7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17365D"/>
                <w:sz w:val="21"/>
              </w:rPr>
              <w:t>最需要解决的问题</w:t>
            </w:r>
          </w:p>
        </w:tc>
        <w:tc>
          <w:tcPr>
            <w:tcW w:type="dxa" w:w="6690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22222"/>
                <w:sz w:val="21"/>
              </w:rPr>
              <w:t>____________________________________________________________</w:t>
            </w:r>
          </w:p>
        </w:tc>
      </w:tr>
      <w:tr>
        <w:tc>
          <w:tcPr>
            <w:tcW w:type="dxa" w:w="2381"/>
            <w:shd w:fill="D9EAF7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17365D"/>
                <w:sz w:val="21"/>
              </w:rPr>
              <w:t>联系人及电话</w:t>
            </w:r>
          </w:p>
        </w:tc>
        <w:tc>
          <w:tcPr>
            <w:tcW w:type="dxa" w:w="6690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22222"/>
                <w:sz w:val="21"/>
              </w:rPr>
              <w:t>____________________________________________________________</w:t>
            </w:r>
          </w:p>
        </w:tc>
      </w:tr>
    </w:tbl>
    <w:p>
      <w:pPr>
        <w:spacing w:before="120"/>
      </w:pPr>
      <w:r>
        <w:rPr>
          <w:rFonts w:ascii="Noto Sans CJK SC" w:hAnsi="Noto Sans CJK SC" w:eastAsia="Noto Sans CJK SC"/>
          <w:b/>
          <w:color w:val="C00000"/>
          <w:sz w:val="17"/>
        </w:rPr>
        <w:t>提示：</w:t>
      </w:r>
      <w:r>
        <w:rPr>
          <w:rFonts w:ascii="Noto Sans CJK SC" w:hAnsi="Noto Sans CJK SC" w:eastAsia="Noto Sans CJK SC"/>
          <w:b w:val="0"/>
          <w:color w:val="666666"/>
          <w:sz w:val="17"/>
        </w:rPr>
        <w:t>本表用于帮助企业快速发现问题。涉及并购交易、长期陪跑或上市规划时，仍应结合企业资料进行专项判断。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65" w:right="850" w:bottom="709" w:left="850" w:header="312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CJK SC" w:hAnsi="Noto Sans CJK SC" w:eastAsia="Noto Sans CJK SC"/>
        <w:b w:val="0"/>
        <w:color w:val="666666"/>
        <w:sz w:val="16"/>
      </w:rPr>
      <w:t>基础自测版｜用于初步判断，不替代专项法律意见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Noto Sans CJK SC" w:hAnsi="Noto Sans CJK SC" w:eastAsia="Noto Sans CJK SC"/>
        <w:b w:val="0"/>
        <w:color w:val="666666"/>
        <w:sz w:val="16"/>
      </w:rPr>
      <w:t>陈辉律师｜企业股权与资本法律服务工具箱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Noto Sans CJK SC" w:hAnsi="Noto Sans CJK SC" w:eastAsia="Noto Sans CJK SC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Noto Sans CJK SC" w:hAnsi="Noto Sans CJK SC" w:eastAsia="Noto Sans CJK SC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Noto Sans CJK SC" w:hAnsi="Noto Sans CJK SC" w:eastAsia="Noto Sans CJK SC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Noto Sans CJK SC" w:hAnsi="Noto Sans CJK SC" w:eastAsia="Noto Sans CJK SC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Noto Sans CJK SC" w:hAnsi="Noto Sans CJK SC" w:eastAsia="Noto Sans CJK SC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100"/>
      <w:outlineLvl w:val="0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100"/>
      <w:outlineLvl w:val="1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2F75B5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Noto Sans CJK SC" w:hAnsi="Noto Sans CJK SC" w:eastAsia="Noto Sans CJK SC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Noto Sans CJK SC" w:hAnsi="Noto Sans CJK SC" w:eastAsia="Noto Sans CJK SC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Noto Sans CJK SC" w:hAnsi="Noto Sans CJK SC" w:eastAsia="Noto Sans CJK SC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Noto Sans CJK SC" w:hAnsi="Noto Sans CJK SC" w:eastAsia="Noto Sans CJK SC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Noto Sans CJK SC" w:hAnsi="Noto Sans CJK SC" w:eastAsia="Noto Sans CJK SC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Noto Sans CJK SC" w:hAnsi="Noto Sans CJK SC" w:eastAsia="Noto Sans CJK SC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Noto Sans CJK SC" w:hAnsi="Noto Sans CJK SC" w:eastAsia="Noto Sans CJK SC"/>
    </w:rPr>
  </w:style>
  <w:style w:type="table" w:default="1" w:styleId="TableNormal">
    <w:name w:val="Normal Table"/>
    <w:uiPriority w:val="99"/>
    <w:semiHidden/>
    <w:unhideWhenUsed/>
    <w:rPr>
      <w:rFonts w:ascii="Noto Sans CJK SC" w:hAnsi="Noto Sans CJK SC" w:eastAsia="Noto Sans CJK S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Noto Sans CJK SC" w:hAnsi="Noto Sans CJK SC" w:eastAsia="Noto Sans CJK SC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Noto Sans CJK SC" w:hAnsi="Noto Sans CJK SC" w:eastAsia="Noto Sans CJK SC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Noto Sans CJK SC" w:hAnsi="Noto Sans CJK SC" w:eastAsia="Noto Sans CJK SC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Noto Sans CJK SC" w:hAnsi="Noto Sans CJK SC" w:eastAsia="Noto Sans CJK SC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140"/>
      <w:contextualSpacing/>
    </w:pPr>
    <w:rPr>
      <w:rFonts w:asciiTheme="majorHAnsi" w:eastAsiaTheme="majorEastAsia" w:hAnsiTheme="majorHAnsi" w:cstheme="majorBidi" w:ascii="Noto Sans CJK SC" w:hAnsi="Noto Sans CJK SC" w:eastAsia="Noto Sans CJK SC"/>
      <w:b/>
      <w:color w:val="17365D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Noto Sans CJK SC" w:hAnsi="Noto Sans CJK SC" w:eastAsia="Noto Sans CJK SC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Noto Sans CJK SC" w:hAnsi="Noto Sans CJK SC" w:eastAsia="Noto Sans CJK SC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Noto Sans CJK SC" w:hAnsi="Noto Sans CJK SC" w:eastAsia="Noto Sans CJK SC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Noto Sans CJK SC" w:hAnsi="Noto Sans CJK SC" w:eastAsia="Noto Sans CJK SC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Noto Sans CJK SC" w:hAnsi="Noto Sans CJK SC" w:eastAsia="Noto Sans CJK SC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Noto Sans CJK SC" w:hAnsi="Noto Sans CJK SC" w:eastAsia="Noto Sans CJK SC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Noto Sans CJK SC" w:hAnsi="Noto Sans CJK SC" w:eastAsia="Noto Sans CJK SC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Noto Sans CJK SC" w:hAnsi="Noto Sans CJK SC" w:eastAsia="Noto Sans CJK SC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Noto Sans CJK SC" w:hAnsi="Noto Sans CJK SC" w:eastAsia="Noto Sans CJK SC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Noto Sans CJK SC" w:hAnsi="Noto Sans CJK SC" w:eastAsia="Noto Sans CJK SC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Noto Sans CJK SC" w:hAnsi="Noto Sans CJK SC" w:eastAsia="Noto Sans CJK SC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Noto Sans CJK SC" w:hAnsi="Noto Sans CJK SC" w:eastAsia="Noto Sans CJK SC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Noto Sans CJK SC" w:hAnsi="Noto Sans CJK SC" w:eastAsia="Noto Sans CJK SC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Noto Sans CJK SC" w:hAnsi="Noto Sans CJK SC" w:eastAsia="Noto Sans CJK SC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Noto Sans CJK SC" w:hAnsi="Noto Sans CJK SC" w:eastAsia="Noto Sans CJK SC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Noto Sans CJK SC" w:hAnsi="Noto Sans CJK SC" w:eastAsia="Noto Sans CJK SC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Noto Sans CJK SC" w:hAnsi="Noto Sans CJK SC" w:eastAsia="Noto Sans CJK SC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Noto Sans CJK SC" w:hAnsi="Noto Sans CJK SC" w:eastAsia="Noto Sans CJK SC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Noto Sans CJK SC" w:hAnsi="Noto Sans CJK SC" w:eastAsia="Noto Sans CJK SC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Noto Sans CJK SC" w:hAnsi="Noto Sans CJK SC" w:eastAsia="Noto Sans CJK SC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Noto Sans CJK SC" w:hAnsi="Noto Sans CJK SC" w:eastAsia="Noto Sans CJK SC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Noto Sans CJK SC" w:hAnsi="Noto Sans CJK SC" w:eastAsia="Noto Sans CJK SC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Noto Sans CJK SC" w:hAnsi="Noto Sans CJK SC" w:eastAsia="Noto Sans CJK SC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Noto Sans CJK SC" w:hAnsi="Noto Sans CJK SC" w:eastAsia="Noto Sans CJK SC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Noto Sans CJK SC" w:hAnsi="Noto Sans CJK SC" w:eastAsia="Noto Sans CJK SC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Noto Sans CJK SC" w:hAnsi="Noto Sans CJK SC" w:eastAsia="Noto Sans CJK SC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Noto Sans CJK SC" w:hAnsi="Noto Sans CJK SC" w:eastAsia="Noto Sans CJK SC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Noto Sans CJK SC" w:hAnsi="Noto Sans CJK SC" w:eastAsia="Noto Sans CJK SC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Noto Sans CJK SC" w:hAnsi="Noto Sans CJK SC" w:eastAsia="Noto Sans CJK SC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Noto Sans CJK SC" w:hAnsi="Noto Sans CJK SC" w:eastAsia="Noto Sans CJK SC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Noto Sans CJK SC" w:hAnsi="Noto Sans CJK SC" w:eastAsia="Noto Sans CJK SC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Noto Sans CJK SC" w:hAnsi="Noto Sans CJK SC" w:eastAsia="Noto Sans CJK SC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Noto Sans CJK SC" w:hAnsi="Noto Sans CJK SC" w:eastAsia="Noto Sans CJK SC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Noto Sans CJK SC" w:hAnsi="Noto Sans CJK SC" w:eastAsia="Noto Sans CJK SC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Noto Sans CJK SC" w:hAnsi="Noto Sans CJK SC" w:eastAsia="Noto Sans CJK SC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Noto Sans CJK SC" w:hAnsi="Noto Sans CJK SC" w:eastAsia="Noto Sans CJK SC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Noto Sans CJK SC" w:hAnsi="Noto Sans CJK SC" w:eastAsia="Noto Sans CJK SC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Noto Sans CJK SC" w:hAnsi="Noto Sans CJK SC" w:eastAsia="Noto Sans CJK SC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Noto Sans CJK SC" w:hAnsi="Noto Sans CJK SC" w:eastAsia="Noto Sans CJK SC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Noto Sans CJK SC" w:hAnsi="Noto Sans CJK SC" w:eastAsia="Noto Sans CJK SC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Noto Sans CJK SC" w:hAnsi="Noto Sans CJK SC" w:eastAsia="Noto Sans CJK SC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Noto Sans CJK SC" w:hAnsi="Noto Sans CJK SC" w:eastAsia="Noto Sans CJK SC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Noto Sans CJK SC" w:hAnsi="Noto Sans CJK SC" w:eastAsia="Noto Sans CJK SC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Noto Sans CJK SC" w:hAnsi="Noto Sans CJK SC" w:eastAsia="Noto Sans CJK SC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Noto Sans CJK SC" w:hAnsi="Noto Sans CJK SC" w:eastAsia="Noto Sans CJK SC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Noto Sans CJK SC" w:hAnsi="Noto Sans CJK SC" w:eastAsia="Noto Sans CJK SC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Noto Sans CJK SC" w:hAnsi="Noto Sans CJK SC" w:eastAsia="Noto Sans CJK SC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Noto Sans CJK SC" w:hAnsi="Noto Sans CJK SC" w:eastAsia="Noto Sans CJK SC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Noto Sans CJK SC" w:hAnsi="Noto Sans CJK SC" w:eastAsia="Noto Sans CJK SC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Noto Sans CJK SC" w:hAnsi="Noto Sans CJK SC" w:eastAsia="Noto Sans CJK SC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Noto Sans CJK SC" w:hAnsi="Noto Sans CJK SC" w:eastAsia="Noto Sans CJK SC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Noto Sans CJK SC" w:hAnsi="Noto Sans CJK SC" w:eastAsia="Noto Sans CJK SC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Noto Sans CJK SC" w:hAnsi="Noto Sans CJK SC" w:eastAsia="Noto Sans CJK SC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Noto Sans CJK SC" w:hAnsi="Noto Sans CJK SC" w:eastAsia="Noto Sans CJK SC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Noto Sans CJK SC" w:hAnsi="Noto Sans CJK SC" w:eastAsia="Noto Sans CJK SC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Noto Sans CJK SC" w:hAnsi="Noto Sans CJK SC" w:eastAsia="Noto Sans CJK SC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Noto Sans CJK SC" w:hAnsi="Noto Sans CJK SC" w:eastAsia="Noto Sans CJK SC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Noto Sans CJK SC" w:hAnsi="Noto Sans CJK SC" w:eastAsia="Noto Sans CJK SC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ns0:Properties xmlns:ns0="http://schemas.openxmlformats.org/officeDocument/2006/extended-properties" xmlns:ns1="http://schemas.openxmlformats.org/officeDocument/2006/docPropsVTypes">
  <ns0:Template/>
  <ns0:TotalTime>0</ns0:TotalTime>
  <ns0:Pages>1</ns0:Pages>
  <ns0:Words>0</ns0:Words>
  <ns0:Characters>0</ns0:Characters>
  <ns0:Application>Microsoft Macintosh Word</ns0:Application>
  <ns0:DocSecurity>0</ns0:DocSecurity>
  <ns0:Lines>0</ns0:Lines>
  <ns0:Paragraphs>0</ns0:Paragraphs>
  <ns0:ScaleCrop>false</ns0:ScaleCrop>
  <ns0:HeadingPairs>
    <ns1:vector size="2" baseType="variant">
      <ns1:variant>
        <ns1:lpstr>Title</ns1:lpstr>
      </ns1:variant>
      <ns1:variant>
        <ns1:i4>1</ns1:i4>
      </ns1:variant>
    </ns1:vector>
  </ns0:HeadingPairs>
  <ns0:TitlesOfParts>
    <ns1:vector size="1" baseType="lpstr">
      <ns1:lpstr/>
    </ns1:vector>
  </ns0:TitlesOfParts>
  <ns0:Manager/>
  <ns0:Company/>
  <ns0:LinksUpToDate>false</ns0:LinksUpToDate>
  <ns0:CharactersWithSpaces>0</ns0:CharactersWithSpaces>
  <ns0:SharedDoc>false</ns0:SharedDoc>
  <ns0:HyperlinkBase/>
  <ns0:HyperlinksChanged>false</ns0:HyperlinksChanged>
  <ns0:AppVersion>14.0000</ns0:AppVersion>
</ns0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企业成长陪跑基础工具箱（简明版）</dc:title>
  <dc:subject>股权治理实务法律工具箱</dc:subject>
  <dc:creator>陈辉律师</dc:creator>
  <cp:keywords>股权治理,公司治理,法律工具</cp:keywords>
  <dc:description/>
  <cp:lastModifiedBy/>
  <cp:revision>1</cp:revision>
  <dcterms:created xsi:type="dcterms:W3CDTF">2013-12-23T23:15:00Z</dcterms:created>
  <dcterms:modified xsi:type="dcterms:W3CDTF">2013-12-23T23:15:00Z</dcterms:modified>
  <cp:category>股权治理法律工具</cp:category>
  <cp:contentStatus>公开工具</cp:contentStatus>
  <dc:identifier/>
  <dc:language>zh-CN</dc:language>
</cp:coreProperties>
</file>