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Noto Sans CJK SC" w:hAnsi="Noto Sans CJK SC" w:eastAsia="Noto Sans CJK SC"/>
          <w:b/>
          <w:color w:val="17365D"/>
          <w:sz w:val="44"/>
        </w:rPr>
        <w:t>企业上市培育基础工具箱</w:t>
      </w:r>
    </w:p>
    <w:p>
      <w:pPr>
        <w:spacing w:after="200"/>
        <w:jc w:val="center"/>
      </w:pPr>
      <w:r>
        <w:rPr>
          <w:rFonts w:ascii="Noto Sans CJK SC" w:hAnsi="Noto Sans CJK SC" w:eastAsia="Noto Sans CJK SC"/>
          <w:b w:val="0"/>
          <w:color w:val="2F75B5"/>
          <w:sz w:val="21"/>
        </w:rPr>
        <w:t>老板3分钟自测版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40"/>
      </w:tblGrid>
      <w:tr>
        <w:tc>
          <w:tcPr>
            <w:tcW w:type="dxa" w:w="10540"/>
            <w:shd w:fill="EEF5FB"/>
            <w:tcMar>
              <w:top w:w="100" w:type="dxa"/>
              <w:bottom w:w="100" w:type="dxa"/>
              <w:start w:w="130" w:type="dxa"/>
              <w:end w:w="13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17365D"/>
                <w:sz w:val="21"/>
              </w:rPr>
              <w:t>使用方法：</w:t>
            </w:r>
            <w:r>
              <w:rPr>
                <w:rFonts w:ascii="Noto Sans CJK SC" w:hAnsi="Noto Sans CJK SC" w:eastAsia="Noto Sans CJK SC"/>
                <w:b w:val="0"/>
                <w:color w:val="222222"/>
                <w:sz w:val="21"/>
              </w:rPr>
              <w:t>请老板或项目负责人根据企业真实情况勾选。一般3—5分钟即可完成。</w:t>
            </w:r>
          </w:p>
        </w:tc>
      </w:tr>
    </w:tbl>
    <w:p>
      <w:pPr>
        <w:pStyle w:val="Heading1"/>
      </w:pPr>
      <w:r>
        <w:rPr>
          <w:rFonts w:ascii="Noto Sans CJK SC" w:hAnsi="Noto Sans CJK SC" w:eastAsia="Noto Sans CJK SC"/>
        </w:rPr>
        <w:t>一、基本信息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2381"/>
            <w:shd w:fill="D9EAF7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17365D"/>
                <w:sz w:val="21"/>
              </w:rPr>
              <w:t>企业名称</w:t>
            </w:r>
          </w:p>
        </w:tc>
        <w:tc>
          <w:tcPr>
            <w:tcW w:type="dxa" w:w="6690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22222"/>
                <w:sz w:val="21"/>
              </w:rPr>
            </w:r>
          </w:p>
        </w:tc>
      </w:tr>
      <w:tr>
        <w:tc>
          <w:tcPr>
            <w:tcW w:type="dxa" w:w="2381"/>
            <w:shd w:fill="D9EAF7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17365D"/>
                <w:sz w:val="21"/>
              </w:rPr>
              <w:t>拟上市方向</w:t>
            </w:r>
          </w:p>
        </w:tc>
        <w:tc>
          <w:tcPr>
            <w:tcW w:type="dxa" w:w="6690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22222"/>
                <w:sz w:val="21"/>
              </w:rPr>
              <w:t>□ A股  □ 北交所  □ 港股  □ 尚未确定</w:t>
            </w:r>
          </w:p>
        </w:tc>
      </w:tr>
      <w:tr>
        <w:tc>
          <w:tcPr>
            <w:tcW w:type="dxa" w:w="2381"/>
            <w:shd w:fill="D9EAF7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17365D"/>
                <w:sz w:val="21"/>
              </w:rPr>
              <w:t>计划时间</w:t>
            </w:r>
          </w:p>
        </w:tc>
        <w:tc>
          <w:tcPr>
            <w:tcW w:type="dxa" w:w="6690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22222"/>
                <w:sz w:val="21"/>
              </w:rPr>
            </w:r>
          </w:p>
        </w:tc>
      </w:tr>
      <w:tr>
        <w:tc>
          <w:tcPr>
            <w:tcW w:type="dxa" w:w="2381"/>
            <w:shd w:fill="D9EAF7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17365D"/>
                <w:sz w:val="21"/>
              </w:rPr>
              <w:t>上市主要目的</w:t>
            </w:r>
          </w:p>
        </w:tc>
        <w:tc>
          <w:tcPr>
            <w:tcW w:type="dxa" w:w="6690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22222"/>
                <w:sz w:val="21"/>
              </w:rPr>
              <w:t>□ 融资  □ 品牌  □ 并购  □ 股东退出  □ 治理升级</w:t>
            </w:r>
          </w:p>
        </w:tc>
      </w:tr>
    </w:tbl>
    <w:p>
      <w:pPr>
        <w:pStyle w:val="Heading1"/>
      </w:pPr>
      <w:r>
        <w:rPr>
          <w:rFonts w:ascii="Noto Sans CJK SC" w:hAnsi="Noto Sans CJK SC" w:eastAsia="Noto Sans CJK SC"/>
        </w:rPr>
        <w:t>二、核心自测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623"/>
            <w:shd w:fill="17365D"/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序号</w:t>
            </w:r>
          </w:p>
        </w:tc>
        <w:tc>
          <w:tcPr>
            <w:tcW w:type="dxa" w:w="6350"/>
            <w:shd w:fill="17365D"/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核心问题</w:t>
            </w:r>
          </w:p>
        </w:tc>
        <w:tc>
          <w:tcPr>
            <w:tcW w:type="dxa" w:w="963"/>
            <w:shd w:fill="17365D"/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是</w:t>
            </w:r>
          </w:p>
        </w:tc>
        <w:tc>
          <w:tcPr>
            <w:tcW w:type="dxa" w:w="1134"/>
            <w:shd w:fill="17365D"/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否/不清楚</w:t>
            </w:r>
          </w:p>
        </w:tc>
      </w:tr>
      <w:tr>
        <w:tc>
          <w:tcPr>
            <w:tcW w:type="dxa" w:w="623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1</w:t>
            </w:r>
          </w:p>
        </w:tc>
        <w:tc>
          <w:tcPr>
            <w:tcW w:type="dxa" w:w="6350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公司已经明确为什么上市，而不是只因为别人上市了。</w:t>
            </w:r>
          </w:p>
        </w:tc>
        <w:tc>
          <w:tcPr>
            <w:tcW w:type="dxa" w:w="963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□</w:t>
            </w:r>
          </w:p>
        </w:tc>
        <w:tc>
          <w:tcPr>
            <w:tcW w:type="dxa" w:w="1134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□</w:t>
            </w:r>
          </w:p>
        </w:tc>
      </w:tr>
      <w:tr>
        <w:tc>
          <w:tcPr>
            <w:tcW w:type="dxa" w:w="623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2</w:t>
            </w:r>
          </w:p>
        </w:tc>
        <w:tc>
          <w:tcPr>
            <w:tcW w:type="dxa" w:w="6350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实际控制人和股权结构清晰，不存在难以解释的代持或控制权争议。</w:t>
            </w:r>
          </w:p>
        </w:tc>
        <w:tc>
          <w:tcPr>
            <w:tcW w:type="dxa" w:w="963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□</w:t>
            </w:r>
          </w:p>
        </w:tc>
        <w:tc>
          <w:tcPr>
            <w:tcW w:type="dxa" w:w="1134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□</w:t>
            </w:r>
          </w:p>
        </w:tc>
      </w:tr>
      <w:tr>
        <w:tc>
          <w:tcPr>
            <w:tcW w:type="dxa" w:w="623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3</w:t>
            </w:r>
          </w:p>
        </w:tc>
        <w:tc>
          <w:tcPr>
            <w:tcW w:type="dxa" w:w="6350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历次增资、股权转让、员工持股和对赌安排基本规范。</w:t>
            </w:r>
          </w:p>
        </w:tc>
        <w:tc>
          <w:tcPr>
            <w:tcW w:type="dxa" w:w="963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□</w:t>
            </w:r>
          </w:p>
        </w:tc>
        <w:tc>
          <w:tcPr>
            <w:tcW w:type="dxa" w:w="1134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□</w:t>
            </w:r>
          </w:p>
        </w:tc>
      </w:tr>
      <w:tr>
        <w:tc>
          <w:tcPr>
            <w:tcW w:type="dxa" w:w="623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4</w:t>
            </w:r>
          </w:p>
        </w:tc>
        <w:tc>
          <w:tcPr>
            <w:tcW w:type="dxa" w:w="6350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主营业务、核心资产、知识产权和经营资质主要在公司体系内。</w:t>
            </w:r>
          </w:p>
        </w:tc>
        <w:tc>
          <w:tcPr>
            <w:tcW w:type="dxa" w:w="963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□</w:t>
            </w:r>
          </w:p>
        </w:tc>
        <w:tc>
          <w:tcPr>
            <w:tcW w:type="dxa" w:w="1134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□</w:t>
            </w:r>
          </w:p>
        </w:tc>
      </w:tr>
      <w:tr>
        <w:tc>
          <w:tcPr>
            <w:tcW w:type="dxa" w:w="623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5</w:t>
            </w:r>
          </w:p>
        </w:tc>
        <w:tc>
          <w:tcPr>
            <w:tcW w:type="dxa" w:w="6350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公司收入、利润、资金流水和纳税情况真实、稳定且能够解释。</w:t>
            </w:r>
          </w:p>
        </w:tc>
        <w:tc>
          <w:tcPr>
            <w:tcW w:type="dxa" w:w="963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□</w:t>
            </w:r>
          </w:p>
        </w:tc>
        <w:tc>
          <w:tcPr>
            <w:tcW w:type="dxa" w:w="1134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□</w:t>
            </w:r>
          </w:p>
        </w:tc>
      </w:tr>
      <w:tr>
        <w:tc>
          <w:tcPr>
            <w:tcW w:type="dxa" w:w="623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6</w:t>
            </w:r>
          </w:p>
        </w:tc>
        <w:tc>
          <w:tcPr>
            <w:tcW w:type="dxa" w:w="6350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关联交易、资金占用和同业竞争问题总体可控。</w:t>
            </w:r>
          </w:p>
        </w:tc>
        <w:tc>
          <w:tcPr>
            <w:tcW w:type="dxa" w:w="963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□</w:t>
            </w:r>
          </w:p>
        </w:tc>
        <w:tc>
          <w:tcPr>
            <w:tcW w:type="dxa" w:w="1134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□</w:t>
            </w:r>
          </w:p>
        </w:tc>
      </w:tr>
      <w:tr>
        <w:tc>
          <w:tcPr>
            <w:tcW w:type="dxa" w:w="623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7</w:t>
            </w:r>
          </w:p>
        </w:tc>
        <w:tc>
          <w:tcPr>
            <w:tcW w:type="dxa" w:w="6350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环保、安全、数据、劳动用工等方面不存在重大合规障碍。</w:t>
            </w:r>
          </w:p>
        </w:tc>
        <w:tc>
          <w:tcPr>
            <w:tcW w:type="dxa" w:w="963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□</w:t>
            </w:r>
          </w:p>
        </w:tc>
        <w:tc>
          <w:tcPr>
            <w:tcW w:type="dxa" w:w="1134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□</w:t>
            </w:r>
          </w:p>
        </w:tc>
      </w:tr>
      <w:tr>
        <w:tc>
          <w:tcPr>
            <w:tcW w:type="dxa" w:w="623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8</w:t>
            </w:r>
          </w:p>
        </w:tc>
        <w:tc>
          <w:tcPr>
            <w:tcW w:type="dxa" w:w="6350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老板和核心团队愿意用1—3年时间持续整改，而不是只想快速申报。</w:t>
            </w:r>
          </w:p>
        </w:tc>
        <w:tc>
          <w:tcPr>
            <w:tcW w:type="dxa" w:w="963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□</w:t>
            </w:r>
          </w:p>
        </w:tc>
        <w:tc>
          <w:tcPr>
            <w:tcW w:type="dxa" w:w="1134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□</w:t>
            </w:r>
          </w:p>
        </w:tc>
      </w:tr>
    </w:tbl>
    <w:p>
      <w:pPr>
        <w:pStyle w:val="Heading1"/>
        <w:pageBreakBefore/>
      </w:pPr>
      <w:r>
        <w:rPr>
          <w:rFonts w:ascii="Noto Sans CJK SC" w:hAnsi="Noto Sans CJK SC" w:eastAsia="Noto Sans CJK SC"/>
        </w:rPr>
        <w:t>三、结果判断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1814"/>
            <w:shd w:fill="17365D"/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“否/不清楚”数量</w:t>
            </w:r>
          </w:p>
        </w:tc>
        <w:tc>
          <w:tcPr>
            <w:tcW w:type="dxa" w:w="2381"/>
            <w:shd w:fill="17365D"/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初步判断</w:t>
            </w:r>
          </w:p>
        </w:tc>
        <w:tc>
          <w:tcPr>
            <w:tcW w:type="dxa" w:w="4309"/>
            <w:shd w:fill="17365D"/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建议</w:t>
            </w:r>
          </w:p>
        </w:tc>
      </w:tr>
      <w:tr>
        <w:tc>
          <w:tcPr>
            <w:tcW w:type="dxa" w:w="1814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0—1项</w:t>
            </w:r>
          </w:p>
        </w:tc>
        <w:tc>
          <w:tcPr>
            <w:tcW w:type="dxa" w:w="2381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具备培育基础</w:t>
            </w:r>
          </w:p>
        </w:tc>
        <w:tc>
          <w:tcPr>
            <w:tcW w:type="dxa" w:w="4309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可以进一步确定上市板块和规范路线图。</w:t>
            </w:r>
          </w:p>
        </w:tc>
      </w:tr>
      <w:tr>
        <w:tc>
          <w:tcPr>
            <w:tcW w:type="dxa" w:w="1814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2—3项</w:t>
            </w:r>
          </w:p>
        </w:tc>
        <w:tc>
          <w:tcPr>
            <w:tcW w:type="dxa" w:w="2381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需要系统整改</w:t>
            </w:r>
          </w:p>
        </w:tc>
        <w:tc>
          <w:tcPr>
            <w:tcW w:type="dxa" w:w="4309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先形成问题清单和12—24个月整改计划。</w:t>
            </w:r>
          </w:p>
        </w:tc>
      </w:tr>
      <w:tr>
        <w:tc>
          <w:tcPr>
            <w:tcW w:type="dxa" w:w="1814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4项以上</w:t>
            </w:r>
          </w:p>
        </w:tc>
        <w:tc>
          <w:tcPr>
            <w:tcW w:type="dxa" w:w="2381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目前不宜确定申报时间</w:t>
            </w:r>
          </w:p>
        </w:tc>
        <w:tc>
          <w:tcPr>
            <w:tcW w:type="dxa" w:w="4309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先解决股权、财税、业务独立性或重大合规问题。</w:t>
            </w:r>
          </w:p>
        </w:tc>
      </w:tr>
    </w:tbl>
    <w:p>
      <w:pPr>
        <w:pStyle w:val="Heading1"/>
      </w:pPr>
      <w:r>
        <w:rPr>
          <w:rFonts w:ascii="Noto Sans CJK SC" w:hAnsi="Noto Sans CJK SC" w:eastAsia="Noto Sans CJK SC"/>
        </w:rPr>
        <w:t>四、老板下一步只做三件事</w:t>
      </w:r>
    </w:p>
    <w:p>
      <w:r>
        <w:rPr>
          <w:rFonts w:ascii="Noto Sans CJK SC" w:hAnsi="Noto Sans CJK SC" w:eastAsia="Noto Sans CJK SC"/>
          <w:b/>
          <w:color w:val="2F75B5"/>
          <w:sz w:val="21"/>
        </w:rPr>
        <w:t xml:space="preserve">1. </w:t>
      </w:r>
      <w:r>
        <w:rPr>
          <w:rFonts w:ascii="Noto Sans CJK SC" w:hAnsi="Noto Sans CJK SC" w:eastAsia="Noto Sans CJK SC"/>
          <w:b w:val="0"/>
          <w:color w:val="222222"/>
          <w:sz w:val="21"/>
        </w:rPr>
        <w:t>先判断企业适合哪条资本路径，不要先定申报时间。</w:t>
      </w:r>
    </w:p>
    <w:p>
      <w:r>
        <w:rPr>
          <w:rFonts w:ascii="Noto Sans CJK SC" w:hAnsi="Noto Sans CJK SC" w:eastAsia="Noto Sans CJK SC"/>
          <w:b/>
          <w:color w:val="2F75B5"/>
          <w:sz w:val="21"/>
        </w:rPr>
        <w:t xml:space="preserve">2. </w:t>
      </w:r>
      <w:r>
        <w:rPr>
          <w:rFonts w:ascii="Noto Sans CJK SC" w:hAnsi="Noto Sans CJK SC" w:eastAsia="Noto Sans CJK SC"/>
          <w:b w:val="0"/>
          <w:color w:val="222222"/>
          <w:sz w:val="21"/>
        </w:rPr>
        <w:t>把股权历史、财税规范、关联交易和业务合规四类问题查清。</w:t>
      </w:r>
    </w:p>
    <w:p>
      <w:r>
        <w:rPr>
          <w:rFonts w:ascii="Noto Sans CJK SC" w:hAnsi="Noto Sans CJK SC" w:eastAsia="Noto Sans CJK SC"/>
          <w:b/>
          <w:color w:val="2F75B5"/>
          <w:sz w:val="21"/>
        </w:rPr>
        <w:t xml:space="preserve">3. </w:t>
      </w:r>
      <w:r>
        <w:rPr>
          <w:rFonts w:ascii="Noto Sans CJK SC" w:hAnsi="Noto Sans CJK SC" w:eastAsia="Noto Sans CJK SC"/>
          <w:b w:val="0"/>
          <w:color w:val="222222"/>
          <w:sz w:val="21"/>
        </w:rPr>
        <w:t>建立老板牵头、管理层执行、中介协同的长期整改机制。</w:t>
      </w:r>
    </w:p>
    <w:p>
      <w:pPr>
        <w:pStyle w:val="Heading1"/>
      </w:pPr>
      <w:r>
        <w:rPr>
          <w:rFonts w:ascii="Noto Sans CJK SC" w:hAnsi="Noto Sans CJK SC" w:eastAsia="Noto Sans CJK SC"/>
        </w:rPr>
        <w:t>五、初步结论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2381"/>
            <w:shd w:fill="D9EAF7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17365D"/>
                <w:sz w:val="21"/>
              </w:rPr>
              <w:t>当前判断</w:t>
            </w:r>
          </w:p>
        </w:tc>
        <w:tc>
          <w:tcPr>
            <w:tcW w:type="dxa" w:w="6690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22222"/>
                <w:sz w:val="21"/>
              </w:rPr>
              <w:t>□ 暂不需要专项服务  □ 建议补充资料后复评  □ 建议开展专项诊断</w:t>
            </w:r>
          </w:p>
        </w:tc>
      </w:tr>
      <w:tr>
        <w:tc>
          <w:tcPr>
            <w:tcW w:type="dxa" w:w="2381"/>
            <w:shd w:fill="D9EAF7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17365D"/>
                <w:sz w:val="21"/>
              </w:rPr>
              <w:t>最需要解决的问题</w:t>
            </w:r>
          </w:p>
        </w:tc>
        <w:tc>
          <w:tcPr>
            <w:tcW w:type="dxa" w:w="6690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22222"/>
                <w:sz w:val="21"/>
              </w:rPr>
              <w:t>____________________________________________________________</w:t>
            </w:r>
          </w:p>
        </w:tc>
      </w:tr>
      <w:tr>
        <w:tc>
          <w:tcPr>
            <w:tcW w:type="dxa" w:w="2381"/>
            <w:shd w:fill="D9EAF7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17365D"/>
                <w:sz w:val="21"/>
              </w:rPr>
              <w:t>联系人及电话</w:t>
            </w:r>
          </w:p>
        </w:tc>
        <w:tc>
          <w:tcPr>
            <w:tcW w:type="dxa" w:w="6690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22222"/>
                <w:sz w:val="21"/>
              </w:rPr>
              <w:t>____________________________________________________________</w:t>
            </w:r>
          </w:p>
        </w:tc>
      </w:tr>
    </w:tbl>
    <w:p>
      <w:pPr>
        <w:spacing w:before="120"/>
      </w:pPr>
      <w:r>
        <w:rPr>
          <w:rFonts w:ascii="Noto Sans CJK SC" w:hAnsi="Noto Sans CJK SC" w:eastAsia="Noto Sans CJK SC"/>
          <w:b/>
          <w:color w:val="C00000"/>
          <w:sz w:val="17"/>
        </w:rPr>
        <w:t>提示：</w:t>
      </w:r>
      <w:r>
        <w:rPr>
          <w:rFonts w:ascii="Noto Sans CJK SC" w:hAnsi="Noto Sans CJK SC" w:eastAsia="Noto Sans CJK SC"/>
          <w:b w:val="0"/>
          <w:color w:val="666666"/>
          <w:sz w:val="17"/>
        </w:rPr>
        <w:t>本表用于帮助企业快速发现问题。涉及并购交易、长期陪跑或上市规划时，仍应结合企业资料进行专项判断。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65" w:right="850" w:bottom="709" w:left="850" w:header="312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CJK SC" w:hAnsi="Noto Sans CJK SC" w:eastAsia="Noto Sans CJK SC"/>
        <w:b w:val="0"/>
        <w:color w:val="666666"/>
        <w:sz w:val="16"/>
      </w:rPr>
      <w:t>基础自测版｜用于初步判断，不替代专项法律意见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Noto Sans CJK SC" w:hAnsi="Noto Sans CJK SC" w:eastAsia="Noto Sans CJK SC"/>
        <w:b w:val="0"/>
        <w:color w:val="666666"/>
        <w:sz w:val="16"/>
      </w:rPr>
      <w:t>陈辉律师｜企业股权与资本法律服务工具箱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Noto Sans CJK SC" w:hAnsi="Noto Sans CJK SC" w:eastAsia="Noto Sans CJK SC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Noto Sans CJK SC" w:hAnsi="Noto Sans CJK SC" w:eastAsia="Noto Sans CJK SC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Noto Sans CJK SC" w:hAnsi="Noto Sans CJK SC" w:eastAsia="Noto Sans CJK SC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Noto Sans CJK SC" w:hAnsi="Noto Sans CJK SC" w:eastAsia="Noto Sans CJK SC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Noto Sans CJK SC" w:hAnsi="Noto Sans CJK SC" w:eastAsia="Noto Sans CJK SC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100"/>
      <w:outlineLvl w:val="0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100"/>
      <w:outlineLvl w:val="1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2F75B5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Noto Sans CJK SC" w:hAnsi="Noto Sans CJK SC" w:eastAsia="Noto Sans CJK SC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Noto Sans CJK SC" w:hAnsi="Noto Sans CJK SC" w:eastAsia="Noto Sans CJK SC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Noto Sans CJK SC" w:hAnsi="Noto Sans CJK SC" w:eastAsia="Noto Sans CJK SC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Noto Sans CJK SC" w:hAnsi="Noto Sans CJK SC" w:eastAsia="Noto Sans CJK SC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Noto Sans CJK SC" w:hAnsi="Noto Sans CJK SC" w:eastAsia="Noto Sans CJK SC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Noto Sans CJK SC" w:hAnsi="Noto Sans CJK SC" w:eastAsia="Noto Sans CJK SC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Noto Sans CJK SC" w:hAnsi="Noto Sans CJK SC" w:eastAsia="Noto Sans CJK SC"/>
    </w:rPr>
  </w:style>
  <w:style w:type="table" w:default="1" w:styleId="TableNormal">
    <w:name w:val="Normal Table"/>
    <w:uiPriority w:val="99"/>
    <w:semiHidden/>
    <w:unhideWhenUsed/>
    <w:rPr>
      <w:rFonts w:ascii="Noto Sans CJK SC" w:hAnsi="Noto Sans CJK SC" w:eastAsia="Noto Sans CJK S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Noto Sans CJK SC" w:hAnsi="Noto Sans CJK SC" w:eastAsia="Noto Sans CJK SC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Noto Sans CJK SC" w:hAnsi="Noto Sans CJK SC" w:eastAsia="Noto Sans CJK SC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Noto Sans CJK SC" w:hAnsi="Noto Sans CJK SC" w:eastAsia="Noto Sans CJK SC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Noto Sans CJK SC" w:hAnsi="Noto Sans CJK SC" w:eastAsia="Noto Sans CJK SC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140"/>
      <w:contextualSpacing/>
    </w:pPr>
    <w:rPr>
      <w:rFonts w:asciiTheme="majorHAnsi" w:eastAsiaTheme="majorEastAsia" w:hAnsiTheme="majorHAnsi" w:cstheme="majorBidi" w:ascii="Noto Sans CJK SC" w:hAnsi="Noto Sans CJK SC" w:eastAsia="Noto Sans CJK SC"/>
      <w:b/>
      <w:color w:val="17365D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Noto Sans CJK SC" w:hAnsi="Noto Sans CJK SC" w:eastAsia="Noto Sans CJK SC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Noto Sans CJK SC" w:hAnsi="Noto Sans CJK SC" w:eastAsia="Noto Sans CJK SC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Noto Sans CJK SC" w:hAnsi="Noto Sans CJK SC" w:eastAsia="Noto Sans CJK SC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Noto Sans CJK SC" w:hAnsi="Noto Sans CJK SC" w:eastAsia="Noto Sans CJK SC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Noto Sans CJK SC" w:hAnsi="Noto Sans CJK SC" w:eastAsia="Noto Sans CJK SC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Noto Sans CJK SC" w:hAnsi="Noto Sans CJK SC" w:eastAsia="Noto Sans CJK SC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Noto Sans CJK SC" w:hAnsi="Noto Sans CJK SC" w:eastAsia="Noto Sans CJK SC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Noto Sans CJK SC" w:hAnsi="Noto Sans CJK SC" w:eastAsia="Noto Sans CJK SC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Noto Sans CJK SC" w:hAnsi="Noto Sans CJK SC" w:eastAsia="Noto Sans CJK SC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Noto Sans CJK SC" w:hAnsi="Noto Sans CJK SC" w:eastAsia="Noto Sans CJK SC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Noto Sans CJK SC" w:hAnsi="Noto Sans CJK SC" w:eastAsia="Noto Sans CJK SC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Noto Sans CJK SC" w:hAnsi="Noto Sans CJK SC" w:eastAsia="Noto Sans CJK SC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Noto Sans CJK SC" w:hAnsi="Noto Sans CJK SC" w:eastAsia="Noto Sans CJK SC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Noto Sans CJK SC" w:hAnsi="Noto Sans CJK SC" w:eastAsia="Noto Sans CJK SC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Noto Sans CJK SC" w:hAnsi="Noto Sans CJK SC" w:eastAsia="Noto Sans CJK SC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Noto Sans CJK SC" w:hAnsi="Noto Sans CJK SC" w:eastAsia="Noto Sans CJK SC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Noto Sans CJK SC" w:hAnsi="Noto Sans CJK SC" w:eastAsia="Noto Sans CJK SC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Noto Sans CJK SC" w:hAnsi="Noto Sans CJK SC" w:eastAsia="Noto Sans CJK SC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Noto Sans CJK SC" w:hAnsi="Noto Sans CJK SC" w:eastAsia="Noto Sans CJK SC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Noto Sans CJK SC" w:hAnsi="Noto Sans CJK SC" w:eastAsia="Noto Sans CJK SC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Noto Sans CJK SC" w:hAnsi="Noto Sans CJK SC" w:eastAsia="Noto Sans CJK SC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Noto Sans CJK SC" w:hAnsi="Noto Sans CJK SC" w:eastAsia="Noto Sans CJK SC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Noto Sans CJK SC" w:hAnsi="Noto Sans CJK SC" w:eastAsia="Noto Sans CJK SC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Noto Sans CJK SC" w:hAnsi="Noto Sans CJK SC" w:eastAsia="Noto Sans CJK SC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Noto Sans CJK SC" w:hAnsi="Noto Sans CJK SC" w:eastAsia="Noto Sans CJK SC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Noto Sans CJK SC" w:hAnsi="Noto Sans CJK SC" w:eastAsia="Noto Sans CJK SC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Noto Sans CJK SC" w:hAnsi="Noto Sans CJK SC" w:eastAsia="Noto Sans CJK SC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Noto Sans CJK SC" w:hAnsi="Noto Sans CJK SC" w:eastAsia="Noto Sans CJK SC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Noto Sans CJK SC" w:hAnsi="Noto Sans CJK SC" w:eastAsia="Noto Sans CJK SC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Noto Sans CJK SC" w:hAnsi="Noto Sans CJK SC" w:eastAsia="Noto Sans CJK SC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Noto Sans CJK SC" w:hAnsi="Noto Sans CJK SC" w:eastAsia="Noto Sans CJK SC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Noto Sans CJK SC" w:hAnsi="Noto Sans CJK SC" w:eastAsia="Noto Sans CJK SC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Noto Sans CJK SC" w:hAnsi="Noto Sans CJK SC" w:eastAsia="Noto Sans CJK SC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Noto Sans CJK SC" w:hAnsi="Noto Sans CJK SC" w:eastAsia="Noto Sans CJK SC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Noto Sans CJK SC" w:hAnsi="Noto Sans CJK SC" w:eastAsia="Noto Sans CJK SC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Noto Sans CJK SC" w:hAnsi="Noto Sans CJK SC" w:eastAsia="Noto Sans CJK SC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Noto Sans CJK SC" w:hAnsi="Noto Sans CJK SC" w:eastAsia="Noto Sans CJK SC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Noto Sans CJK SC" w:hAnsi="Noto Sans CJK SC" w:eastAsia="Noto Sans CJK SC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Noto Sans CJK SC" w:hAnsi="Noto Sans CJK SC" w:eastAsia="Noto Sans CJK SC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Noto Sans CJK SC" w:hAnsi="Noto Sans CJK SC" w:eastAsia="Noto Sans CJK SC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Noto Sans CJK SC" w:hAnsi="Noto Sans CJK SC" w:eastAsia="Noto Sans CJK SC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Noto Sans CJK SC" w:hAnsi="Noto Sans CJK SC" w:eastAsia="Noto Sans CJK SC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Noto Sans CJK SC" w:hAnsi="Noto Sans CJK SC" w:eastAsia="Noto Sans CJK SC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Noto Sans CJK SC" w:hAnsi="Noto Sans CJK SC" w:eastAsia="Noto Sans CJK SC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Noto Sans CJK SC" w:hAnsi="Noto Sans CJK SC" w:eastAsia="Noto Sans CJK SC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Noto Sans CJK SC" w:hAnsi="Noto Sans CJK SC" w:eastAsia="Noto Sans CJK SC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Noto Sans CJK SC" w:hAnsi="Noto Sans CJK SC" w:eastAsia="Noto Sans CJK SC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Noto Sans CJK SC" w:hAnsi="Noto Sans CJK SC" w:eastAsia="Noto Sans CJK SC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Noto Sans CJK SC" w:hAnsi="Noto Sans CJK SC" w:eastAsia="Noto Sans CJK SC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Noto Sans CJK SC" w:hAnsi="Noto Sans CJK SC" w:eastAsia="Noto Sans CJK SC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Noto Sans CJK SC" w:hAnsi="Noto Sans CJK SC" w:eastAsia="Noto Sans CJK SC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Noto Sans CJK SC" w:hAnsi="Noto Sans CJK SC" w:eastAsia="Noto Sans CJK SC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Noto Sans CJK SC" w:hAnsi="Noto Sans CJK SC" w:eastAsia="Noto Sans CJK SC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Noto Sans CJK SC" w:hAnsi="Noto Sans CJK SC" w:eastAsia="Noto Sans CJK SC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Noto Sans CJK SC" w:hAnsi="Noto Sans CJK SC" w:eastAsia="Noto Sans CJK SC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Noto Sans CJK SC" w:hAnsi="Noto Sans CJK SC" w:eastAsia="Noto Sans CJK SC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Noto Sans CJK SC" w:hAnsi="Noto Sans CJK SC" w:eastAsia="Noto Sans CJK SC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Noto Sans CJK SC" w:hAnsi="Noto Sans CJK SC" w:eastAsia="Noto Sans CJK SC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ns0:Properties xmlns:ns0="http://schemas.openxmlformats.org/officeDocument/2006/extended-properties" xmlns:ns1="http://schemas.openxmlformats.org/officeDocument/2006/docPropsVTypes">
  <ns0:Template/>
  <ns0:TotalTime>0</ns0:TotalTime>
  <ns0:Pages>1</ns0:Pages>
  <ns0:Words>0</ns0:Words>
  <ns0:Characters>0</ns0:Characters>
  <ns0:Application>Microsoft Macintosh Word</ns0:Application>
  <ns0:DocSecurity>0</ns0:DocSecurity>
  <ns0:Lines>0</ns0:Lines>
  <ns0:Paragraphs>0</ns0:Paragraphs>
  <ns0:ScaleCrop>false</ns0:ScaleCrop>
  <ns0:HeadingPairs>
    <ns1:vector size="2" baseType="variant">
      <ns1:variant>
        <ns1:lpstr>Title</ns1:lpstr>
      </ns1:variant>
      <ns1:variant>
        <ns1:i4>1</ns1:i4>
      </ns1:variant>
    </ns1:vector>
  </ns0:HeadingPairs>
  <ns0:TitlesOfParts>
    <ns1:vector size="1" baseType="lpstr">
      <ns1:lpstr/>
    </ns1:vector>
  </ns0:TitlesOfParts>
  <ns0:Manager/>
  <ns0:Company/>
  <ns0:LinksUpToDate>false</ns0:LinksUpToDate>
  <ns0:CharactersWithSpaces>0</ns0:CharactersWithSpaces>
  <ns0:SharedDoc>false</ns0:SharedDoc>
  <ns0:HyperlinkBase/>
  <ns0:HyperlinksChanged>false</ns0:HyperlinksChanged>
  <ns0:AppVersion>14.0000</ns0:AppVersion>
</ns0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企业上市培育基础工具箱（简明版）</dc:title>
  <dc:subject>股权治理实务法律工具箱</dc:subject>
  <dc:creator>陈辉律师</dc:creator>
  <cp:keywords>股权治理,公司治理,法律工具</cp:keywords>
  <dc:description/>
  <cp:lastModifiedBy/>
  <cp:revision>1</cp:revision>
  <dcterms:created xsi:type="dcterms:W3CDTF">2013-12-23T23:15:00Z</dcterms:created>
  <dcterms:modified xsi:type="dcterms:W3CDTF">2013-12-23T23:15:00Z</dcterms:modified>
  <cp:category>股权治理法律工具</cp:category>
  <cp:contentStatus>公开工具</cp:contentStatus>
  <dc:identifier/>
  <dc:language>zh-CN</dc:language>
</cp:coreProperties>
</file>