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融资谈判条款清单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结构、利益、控制、责任、退出：老板融资前必须算清的40项条款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工具编号：EQ-06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用于创始人、管理层和律师在融资意向书、增资协议、股东协议谈判中统一立场、识别底线，并同步测算股权稀释、控制权、回购责任和最坏情形现金压力。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由企业负责人、财务负责人和法律顾问根据现有文件及实际执行情况共同填写。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状态口径：底线=原则上不能接受明显不利变化；可谈=可通过对价或条件交换；需测算=必须完成股权、现金或责任模拟后决定。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“缺失”或“高风险”不代表当然违法，但表示该事项缺少适配企业实际情况的规则或证据。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整改时应同步处理章程、协议、决议、制度、工商登记和实际执行，避免文件之间相互冲突。</w:t>
      </w:r>
    </w:p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五、项目清单</w:t>
      </w:r>
    </w:p>
    <w:p>
      <w:pPr>
        <w:pStyle w:val="Heading2"/>
      </w:pPr>
      <w:r>
        <w:t>A. 交易结构与估值（1—8）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39"/>
        <w:gridCol w:w="3039"/>
        <w:gridCol w:w="3039"/>
        <w:gridCol w:w="3039"/>
        <w:gridCol w:w="3039"/>
      </w:tblGrid>
      <w:tr>
        <w:trPr>
          <w:tblHeader w:val="true"/>
        </w:trPr>
        <w:tc>
          <w:tcPr>
            <w:tcW w:type="dxa" w:w="56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5216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谈判条款/问题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我方立场</w:t>
            </w:r>
          </w:p>
        </w:tc>
        <w:tc>
          <w:tcPr>
            <w:tcW w:type="dxa" w:w="5103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风险与谈判重点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最终约定/责任人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本轮融资真实资金需求、使用计划和现金跑道。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避免为暂时用不完的资金过度出让股权。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投前估值、投后估值及完全摊薄口径。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明确期权池扩容由谁承担稀释。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增资、老股转让或二者结合的交易结构。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分别评估资金进入公司、税务和控制权影响。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融资主体、境内外架构及核心资产归属。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确认知识产权、资质、合同和人员是否在正确主体。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投资金额、付款节奏和分期交割条件。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避免条件过宽导致资金迟延或无法到账。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员工激励池的规模、扩容时间和稀释承担。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明确是投前扩容还是投后共同稀释。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本轮及未来多轮融资后的股权稀释模拟。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至少测算两轮融资和员工池变化。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8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现有股东优先认购、放弃及内部批准程序。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确保章程、协议和决议一致。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</w:tbl>
    <w:p>
      <w:pPr>
        <w:pStyle w:val="Heading2"/>
      </w:pPr>
      <w:r>
        <w:t>B. 投资人经济权利（9—16）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39"/>
        <w:gridCol w:w="3039"/>
        <w:gridCol w:w="3039"/>
        <w:gridCol w:w="3039"/>
        <w:gridCol w:w="3039"/>
      </w:tblGrid>
      <w:tr>
        <w:trPr>
          <w:tblHeader w:val="true"/>
        </w:trPr>
        <w:tc>
          <w:tcPr>
            <w:tcW w:type="dxa" w:w="56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5216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谈判条款/问题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我方立场</w:t>
            </w:r>
          </w:p>
        </w:tc>
        <w:tc>
          <w:tcPr>
            <w:tcW w:type="dxa" w:w="5103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风险与谈判重点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最终约定/责任人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9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优先清算的倍数、参与型/非参与型及适用事件。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测算不同退出价格下创始团队实际收益。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10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反稀释机制采用完全棘轮还是加权平均。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限定触发情形并设置豁免发行。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11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优先分红、累计分红及未分配利润处理。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防止与公司现金流和法定分配程序冲突。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12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优先购买权、优先认购权及其行使期限。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避免影响后续融资效率。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13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共同出售权的比例、条件和受让人范围。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明确创始人部分转让和控制权交易情形。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14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拖售权的触发门槛、估值底线和责任限制。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防止少数投资人单独强制出售公司。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15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股权转让限制、锁定期和允许转让范围。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为创始人合理流动性和内部重组留空间。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16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创始人或员工历史股权、期权和代持的确认。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交割前完成清理或明确责任边界。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</w:tbl>
    <w:p>
      <w:pPr>
        <w:pStyle w:val="Heading2"/>
      </w:pPr>
      <w:r>
        <w:t>C. 公司控制与治理（17—24）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39"/>
        <w:gridCol w:w="3039"/>
        <w:gridCol w:w="3039"/>
        <w:gridCol w:w="3039"/>
        <w:gridCol w:w="3039"/>
      </w:tblGrid>
      <w:tr>
        <w:trPr>
          <w:tblHeader w:val="true"/>
        </w:trPr>
        <w:tc>
          <w:tcPr>
            <w:tcW w:type="dxa" w:w="56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5216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谈判条款/问题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我方立场</w:t>
            </w:r>
          </w:p>
        </w:tc>
        <w:tc>
          <w:tcPr>
            <w:tcW w:type="dxa" w:w="5103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风险与谈判重点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最终约定/责任人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17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投资人董事席位、观察员及提名权。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与持股比例、阶段和退出后权利失效相匹配。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18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股东会和董事会否决事项清单。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限定为重大保护事项，不干预日常经营。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19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预算、融资、担保、并购、资产处置和关联交易权限。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设置金额阈值和紧急经营例外。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20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董事会人数、表决门槛、董事长产生及僵局机制。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防止出现偶数席位和长期停摆。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21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法定代表人、总经理和财务负责人的任免权。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保护经营稳定同时设置监督机制。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22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公章、账户、付款和重大合同审批机制。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避免投资人权利与公司日常授权冲突。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23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信息权、检查权、审计权和保密责任。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确定频率、范围、成本和竞争信息隔离。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24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投资人特殊权利的终止、调整和同等待遇。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约定持股下降、上市或违约后的失效机制。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</w:tbl>
    <w:p>
      <w:pPr>
        <w:pStyle w:val="Heading2"/>
      </w:pPr>
      <w:r>
        <w:t>D. 对赌、回购与创始人责任（25—32）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39"/>
        <w:gridCol w:w="3039"/>
        <w:gridCol w:w="3039"/>
        <w:gridCol w:w="3039"/>
        <w:gridCol w:w="3039"/>
      </w:tblGrid>
      <w:tr>
        <w:trPr>
          <w:tblHeader w:val="true"/>
        </w:trPr>
        <w:tc>
          <w:tcPr>
            <w:tcW w:type="dxa" w:w="56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5216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谈判条款/问题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我方立场</w:t>
            </w:r>
          </w:p>
        </w:tc>
        <w:tc>
          <w:tcPr>
            <w:tcW w:type="dxa" w:w="5103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风险与谈判重点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最终约定/责任人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25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业绩承诺或里程碑的口径、数据来源和调整机制。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避免仅以不可控单一指标触发。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26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回购触发事件是否区分公司原因、创始人过错和外部因素。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不宜把所有经营风险转移给个人。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27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回购义务主体是公司、创始人还是其他股东。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评估公司法程序、个人资产和履行能力。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28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回购价格、收益率、计算起点和上限。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制作最坏情形现金压力测试。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29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回购付款期限、分期、宽限期和担保。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避免一触发即全额到期导致现金链断裂。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30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创始人陈述保证的知识范围、重大性和披露例外。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以披露函和尽调材料限定责任。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31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赔偿责任的期限、上限、起赔点和间接损失排除。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区分一般陈述、核心权属和欺诈责任。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32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创始人连带责任、个人担保和配偶承诺。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原则上审慎接受并明确范围及解除条件。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</w:tbl>
    <w:p>
      <w:pPr>
        <w:pStyle w:val="Heading2"/>
      </w:pPr>
      <w:r>
        <w:t>E. 交割、投后与退出（33—40）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39"/>
        <w:gridCol w:w="3039"/>
        <w:gridCol w:w="3039"/>
        <w:gridCol w:w="3039"/>
        <w:gridCol w:w="3039"/>
      </w:tblGrid>
      <w:tr>
        <w:trPr>
          <w:tblHeader w:val="true"/>
        </w:trPr>
        <w:tc>
          <w:tcPr>
            <w:tcW w:type="dxa" w:w="56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5216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谈判条款/问题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我方立场</w:t>
            </w:r>
          </w:p>
        </w:tc>
        <w:tc>
          <w:tcPr>
            <w:tcW w:type="dxa" w:w="5103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风险与谈判重点</w:t>
            </w:r>
          </w:p>
        </w:tc>
        <w:tc>
          <w:tcPr>
            <w:tcW w:type="dxa" w:w="226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最终约定/责任人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33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先决条件清单及其完成期限。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防止投资人以开放式条件长期不交割。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34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交割文件、付款账户、股权登记和章程生效顺序。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确保钱、股、权利和登记同步。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35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尽调发现问题的整改、豁免和后续义务。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区分交割前必须完成与投后整改事项。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36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募集资金用途、预算偏差和资金监管。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保留合理经营调整空间。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37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创始人服务期、竞业、保密和知识产权义务。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范围、期限和补偿应合理并可执行。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38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后续融资配合、最惠待遇和权利升级限制。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避免早期投资人权利无限自动增强。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39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投资人退出路径、期限和上市/并购安排。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退出预期不能直接转化为创始人无限回购。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40</w:t>
            </w:r>
          </w:p>
        </w:tc>
        <w:tc>
          <w:tcPr>
            <w:tcW w:type="dxa" w:w="5216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保密、公告、费用、税务、争议解决和送达。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□底线  □可谈  □需测算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  <w:t>明确律师费、审计费、税费及管辖。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5"/>
              </w:rPr>
            </w:r>
          </w:p>
        </w:tc>
      </w:tr>
    </w:tbl>
    <w:p>
      <w:pPr>
        <w:pStyle w:val="Heading1"/>
      </w:pPr>
      <w:r>
        <w:t>六、结论与整改计划</w:t>
      </w:r>
    </w:p>
    <w:p>
      <w:pPr>
        <w:pStyle w:val="Heading2"/>
      </w:pPr>
      <w:r>
        <w:t>我方五项核心底线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可以交换的条件与对价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必须完成的三项测算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2"/>
      </w:pPr>
      <w:r>
        <w:t>签署前文件及内部批准清单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融资条款具有高度交易性，应结合投资阶段、议价能力、公司现金流、税务及实际控制安排逐项判断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