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50"/>
        <w:jc w:val="center"/>
      </w:pPr>
      <w:r>
        <w:rPr>
          <w:rFonts w:ascii="Noto Sans CJK SC" w:hAnsi="Noto Sans CJK SC" w:eastAsia="Noto Sans CJK SC"/>
          <w:b/>
          <w:color w:val="B28B4A"/>
          <w:sz w:val="26"/>
        </w:rPr>
        <w:t>陈辉律师股权法律工具箱</w:t>
      </w:r>
    </w:p>
    <w:p>
      <w:pPr>
        <w:spacing w:before="454"/>
        <w:jc w:val="center"/>
      </w:pPr>
      <w:r>
        <w:rPr>
          <w:rFonts w:ascii="Noto Sans CJK SC" w:hAnsi="Noto Sans CJK SC" w:eastAsia="Noto Sans CJK SC"/>
          <w:b/>
          <w:color w:val="17324D"/>
          <w:sz w:val="50"/>
        </w:rPr>
        <w:t>股权激励九步诊断表</w:t>
      </w:r>
    </w:p>
    <w:p>
      <w:pPr>
        <w:jc w:val="center"/>
      </w:pPr>
      <w:r>
        <w:rPr>
          <w:rFonts w:ascii="Noto Sans CJK SC" w:hAnsi="Noto Sans CJK SC" w:eastAsia="Noto Sans CJK SC"/>
          <w:color w:val="2F5D7C"/>
          <w:sz w:val="24"/>
        </w:rPr>
        <w:t>定目标、定对象、定模式、定额度、定价格、定条件、定成熟、定考核、定退出</w:t>
      </w:r>
    </w:p>
    <w:p>
      <w:pPr>
        <w:spacing w:before="510"/>
        <w:jc w:val="center"/>
      </w:pPr>
      <w:r>
        <w:rPr>
          <w:rFonts w:ascii="Noto Sans CJK SC" w:hAnsi="Noto Sans CJK SC" w:eastAsia="Noto Sans CJK SC"/>
          <w:color w:val="666666"/>
          <w:sz w:val="18"/>
        </w:rPr>
        <w:t>工具编号：EQ-03    版本：2026年7月</w:t>
      </w:r>
    </w:p>
    <w:p>
      <w:pPr>
        <w:spacing w:before="567"/>
        <w:jc w:val="center"/>
      </w:pPr>
      <w:r>
        <w:rPr>
          <w:rFonts w:ascii="Noto Sans CJK SC" w:hAnsi="Noto Sans CJK SC" w:eastAsia="Noto Sans CJK SC"/>
          <w:color w:val="17324D"/>
          <w:sz w:val="20"/>
        </w:rPr>
        <w:t>企业名称：____________________________    填写人：____________    日期：____________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194"/>
      </w:tblGrid>
      <w:tr>
        <w:tc>
          <w:tcPr>
            <w:tcW w:type="dxa" w:w="12474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17324D"/>
                <w:sz w:val="19"/>
              </w:rPr>
              <w:t>使用提示：请以公司当前实际情况填写，不要按“希望达到的状态”作答。存在重大股东矛盾、融资交易或诉讼时，应结合章程、协议、工商档案、出资、财务及证据材料进行专项判断。</w:t>
            </w:r>
          </w:p>
        </w:tc>
      </w:tr>
    </w:tbl>
    <w:p>
      <w:r>
        <w:br w:type="page"/>
      </w:r>
    </w:p>
    <w:p>
      <w:pPr>
        <w:pStyle w:val="Heading1"/>
      </w:pPr>
      <w:r>
        <w:t>一、工具用途</w:t>
      </w:r>
    </w:p>
    <w:p>
      <w:r>
        <w:t>用于企业在启动、修改或复盘股权激励方案时，检查九个关键决策是否形成闭环，避免“只谈给多少股，不谈贡献、成熟、考核和退出”。</w:t>
      </w:r>
    </w:p>
    <w:p>
      <w:pPr>
        <w:pStyle w:val="Heading1"/>
      </w:pPr>
      <w:r>
        <w:t>二、填写方法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1. 每一步5个问题，按“是、部分、否”填写。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2. 是=2分，部分=1分，否=0分；每一步10分，总分90分。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3. 任一步低于6分，应列为专项设计问题；退出、成熟、对象任一步低于4分，原则上不宜直接授予实股。</w:t>
      </w:r>
    </w:p>
    <w:p>
      <w:pPr>
        <w:ind w:left="113"/>
      </w:pPr>
      <w:r>
        <w:rPr>
          <w:rFonts w:ascii="Noto Sans CJK SC" w:hAnsi="Noto Sans CJK SC" w:eastAsia="Noto Sans CJK SC"/>
          <w:sz w:val="20"/>
        </w:rPr>
        <w:t>4. 由老板、业务负责人、财务负责人和法律顾问共同完成，避免单一部门决定。</w:t>
      </w:r>
    </w:p>
    <w:p>
      <w:pPr>
        <w:pStyle w:val="Heading1"/>
      </w:pPr>
      <w:r>
        <w:t>三、评分与风险分级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5"/>
        <w:gridCol w:w="5065"/>
        <w:gridCol w:w="5065"/>
      </w:tblGrid>
      <w:tr>
        <w:trPr>
          <w:tblHeader w:val="true"/>
        </w:trPr>
        <w:tc>
          <w:tcPr>
            <w:tcW w:type="dxa" w:w="2551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分值/状态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风险等级</w:t>
            </w:r>
          </w:p>
        </w:tc>
        <w:tc>
          <w:tcPr>
            <w:tcW w:type="dxa" w:w="793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建议动作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72—90分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方案闭环较完整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可以进入文件落地、宣讲和年度运营阶段。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54—71分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关键规则不完整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补齐低分步骤后再授予或扩大激励范围。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36—53分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方案风险较高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不建议仅凭一份授予协议实施，应重构总体方案。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0—35分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激励可能失效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暂停承诺或授予，先明确目标、对象、工具和退出。</w:t>
            </w:r>
          </w:p>
        </w:tc>
      </w:tr>
    </w:tbl>
    <w:p>
      <w:pPr>
        <w:pStyle w:val="Heading1"/>
      </w:pPr>
      <w:r>
        <w:t>四、企业基础信息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798"/>
        <w:gridCol w:w="3798"/>
        <w:gridCol w:w="3798"/>
        <w:gridCol w:w="3798"/>
      </w:tblGrid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企业名称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成立时间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主营业务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发展阶段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□设立期  □成长期  □融资期  □成熟期</w:t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股东人数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实际控制人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是否融资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□否  □筹备中  □已融资</w:t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是否存在纠纷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□否  □潜在分歧  □已发生</w:t>
            </w:r>
          </w:p>
        </w:tc>
      </w:tr>
      <w:tr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现有文件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  <w:t>□章程  □股东协议  □投资协议  □激励文件</w:t>
            </w:r>
          </w:p>
        </w:tc>
        <w:tc>
          <w:tcPr>
            <w:tcW w:type="dxa" w:w="1701"/>
            <w:shd w:fill="EAF1F6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/>
                <w:color w:val="17324D"/>
                <w:sz w:val="17"/>
              </w:rPr>
              <w:t>本次重点</w:t>
            </w:r>
          </w:p>
        </w:tc>
        <w:tc>
          <w:tcPr>
            <w:tcW w:type="dxa" w:w="5103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7"/>
              </w:rPr>
            </w:r>
          </w:p>
        </w:tc>
      </w:tr>
    </w:tbl>
    <w:p>
      <w:pPr>
        <w:pStyle w:val="Heading1"/>
      </w:pPr>
      <w:r>
        <w:t>五、诊断清单</w:t>
      </w:r>
    </w:p>
    <w:p>
      <w:r>
        <w:t>评分规则：是=2分，部分=1分，否=0分。本表满分 90 分。</w:t>
      </w:r>
    </w:p>
    <w:p>
      <w:pPr>
        <w:pStyle w:val="Heading2"/>
      </w:pPr>
      <w:r>
        <w:t>第一步：定目标</w:t>
      </w:r>
    </w:p>
    <w:p>
      <w:pPr>
        <w:spacing w:after="60"/>
      </w:pPr>
      <w:r>
        <w:t>先明确公司为什么做激励，避免把股权当作临时留人工具。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激励目标与公司未来三至五年战略相一致。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已区分留人、引才、业绩增长、创业团队绑定和资本规范等不同目标。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目标可以用结果和期限衡量，而非笼统写“提高积极性”。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董事会、创始人和管理层对激励目标形成一致意见。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5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已判断奖金、分红或项目机制能否更低成本地实现目标。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第二步：定对象</w:t>
      </w:r>
    </w:p>
    <w:p>
      <w:pPr>
        <w:spacing w:after="60"/>
      </w:pPr>
      <w:r>
        <w:t>激励未来重要且对结果负责的人，不是职位高或声音大的人。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6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已建立激励对象资格标准和负面清单。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7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对象对公司未来三至五年具有持续价值。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8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对象能够对经营结果负责，而非只完成岗位动作。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9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对象替代成本、客户团队技术影响及离职风险已评估。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10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普通骨干、核心高管和事业合伙人采用了分层激励。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第三步：定模式</w:t>
      </w:r>
    </w:p>
    <w:p>
      <w:pPr>
        <w:spacing w:after="60"/>
      </w:pPr>
      <w:r>
        <w:t>实股、期权、虚拟股、限制性权益和项目跟投应与人才层级匹配。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11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已比较实股、期权、虚拟股、项目分红及跟投模式。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12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选择的工具与公司股权结构、税务、现金流和治理能力匹配。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13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激励对象是否成为工商股东已作审慎判断。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14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持股平台的必要性、成本和管理方式已评估。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15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工具可以支持后续融资、并购或上市规范。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第四步：定额度</w:t>
      </w:r>
    </w:p>
    <w:p>
      <w:pPr>
        <w:spacing w:after="60"/>
      </w:pPr>
      <w:r>
        <w:t>额度来自战略和人才价值，不应临时拍脑袋。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16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公司整体激励池有测算依据。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17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已考虑现有股东稀释、未来融资和后续人才储备。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18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个体额度与岗位价值、业绩责任和长期贡献相匹配。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19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不同层级之间的额度差异具有可解释性。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20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存在年度补授、调整和回收机制。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第五步：定价格</w:t>
      </w:r>
    </w:p>
    <w:p>
      <w:pPr>
        <w:spacing w:after="60"/>
      </w:pPr>
      <w:r>
        <w:t>价格影响员工投入感、税务成本、收益预期和离职回购。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21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授予或行权价格有明确计算依据。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22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已比较无偿、折价、净资产、估值和分期支付等方案。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23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员工实际支付能力和资金来源已评估。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24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价格与收益测算已向员工清楚说明，未作保本保收益承诺。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25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离职回购价格与授予价格、成熟状态和离职性质相衔接。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第六步：定条件</w:t>
      </w:r>
    </w:p>
    <w:p>
      <w:pPr>
        <w:spacing w:after="60"/>
      </w:pPr>
      <w:r>
        <w:t>授予前置条件决定谁有资格真正进入激励计划。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26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授予条件包括岗位、服务、绩效、合规和签署文件要求。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27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资源、技术或项目型对象有具体可验收的交付条件。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28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知识产权、保密、竞业和客户保护义务已衔接。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29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未满足条件时，公司可以不授予或调整。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30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授予决策和审批程序符合章程及公司内部授权。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第七步：定成熟</w:t>
      </w:r>
    </w:p>
    <w:p>
      <w:pPr>
        <w:spacing w:after="60"/>
      </w:pPr>
      <w:r>
        <w:t>股权应随时间和贡献逐步成熟，不宜一次性给完。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31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成熟周期与人才绑定期限相匹配。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32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设置等待期、分期成熟或里程碑成熟。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33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时间成熟与业绩成熟之间的关系清楚。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34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岗位调整、长期休假、离职或公司控制权变化时的成熟规则明确。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35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成熟台账、通知和确认程序可持续执行。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第八步：定考核</w:t>
      </w:r>
    </w:p>
    <w:p>
      <w:pPr>
        <w:spacing w:after="60"/>
      </w:pPr>
      <w:r>
        <w:t>考核要把公司、团队和个人结果与权益建立闭环。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36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公司级、部门级和个人级指标权重明确。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37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考核指标可量化、可核验并与职责相匹配。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38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考核周期、数据来源、审批和异议程序明确。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39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未达标、部分达标和超额完成的权益处理清楚。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40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避免只考利润而忽视现金流、客户质量、合规和长期价值。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2"/>
      </w:pPr>
      <w:r>
        <w:t>第九步：定退出</w:t>
      </w:r>
    </w:p>
    <w:p>
      <w:pPr>
        <w:spacing w:after="60"/>
      </w:pPr>
      <w:r>
        <w:t>退出规则决定方案能否保护公司并长期运行。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1"/>
        <w:gridCol w:w="2171"/>
        <w:gridCol w:w="2171"/>
        <w:gridCol w:w="2171"/>
        <w:gridCol w:w="2171"/>
        <w:gridCol w:w="2171"/>
        <w:gridCol w:w="2171"/>
      </w:tblGrid>
      <w:tr>
        <w:trPr>
          <w:tblHeader w:val="true"/>
        </w:trPr>
        <w:tc>
          <w:tcPr>
            <w:tcW w:type="dxa" w:w="68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序号</w:t>
            </w:r>
          </w:p>
        </w:tc>
        <w:tc>
          <w:tcPr>
            <w:tcW w:type="dxa" w:w="703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诊断问题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是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部分</w:t>
            </w:r>
          </w:p>
        </w:tc>
        <w:tc>
          <w:tcPr>
            <w:tcW w:type="dxa" w:w="737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否</w:t>
            </w:r>
          </w:p>
        </w:tc>
        <w:tc>
          <w:tcPr>
            <w:tcW w:type="dxa" w:w="850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得分</w:t>
            </w:r>
          </w:p>
        </w:tc>
        <w:tc>
          <w:tcPr>
            <w:tcW w:type="dxa" w:w="2835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备注/整改动作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41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已区分正常离职、协商离职、违纪离职和重大损害情形。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42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成熟与未成熟权益分别处理。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43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回购主体、价格、支付期限和税费承担明确。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44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竞业、保密、客户团队和知识产权义务与退出相衔接。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45</w:t>
            </w:r>
          </w:p>
        </w:tc>
        <w:tc>
          <w:tcPr>
            <w:tcW w:type="dxa" w:w="7030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融资、并购、上市、公司清算和控制权变化时权益有处理方案。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737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  <w:t>□</w:t>
            </w:r>
          </w:p>
        </w:tc>
        <w:tc>
          <w:tcPr>
            <w:tcW w:type="dxa" w:w="850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 w:before="0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6"/>
              </w:rPr>
            </w:r>
          </w:p>
        </w:tc>
      </w:tr>
    </w:tbl>
    <w:p>
      <w:pPr>
        <w:jc w:val="right"/>
      </w:pPr>
      <w:r>
        <w:rPr>
          <w:rFonts w:ascii="Noto Sans CJK SC" w:hAnsi="Noto Sans CJK SC" w:eastAsia="Noto Sans CJK SC"/>
          <w:color w:val="2F5D7C"/>
          <w:sz w:val="18"/>
        </w:rPr>
        <w:t>本维度得分：________ 分    主要风险：________________________________</w:t>
      </w:r>
    </w:p>
    <w:p>
      <w:pPr>
        <w:pStyle w:val="Heading1"/>
      </w:pPr>
      <w:r>
        <w:t>六、诊断结果与整改优先级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5"/>
        <w:gridCol w:w="5065"/>
        <w:gridCol w:w="5065"/>
      </w:tblGrid>
      <w:tr>
        <w:tc>
          <w:tcPr>
            <w:tcW w:type="dxa" w:w="2551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总分区间</w:t>
            </w:r>
          </w:p>
        </w:tc>
        <w:tc>
          <w:tcPr>
            <w:tcW w:type="dxa" w:w="3402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诊断结论</w:t>
            </w:r>
          </w:p>
        </w:tc>
        <w:tc>
          <w:tcPr>
            <w:tcW w:type="dxa" w:w="7938"/>
            <w:shd w:fill="17324D"/>
            <w:vAlign w:val="center"/>
          </w:tcPr>
          <w:p>
            <w:pPr>
              <w:spacing w:after="0" w:before="0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建议动作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72—90分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闭环较完整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进入授予文件、宣讲、台账和年度复盘。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54—71分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存在明显缺口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优先补齐得分低于6分的步骤。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36—53分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风险较高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重构总体方案，避免继续口头承诺或零散授予。</w:t>
            </w:r>
          </w:p>
        </w:tc>
      </w:tr>
      <w:tr>
        <w:tc>
          <w:tcPr>
            <w:tcW w:type="dxa" w:w="2551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0—35分</w:t>
            </w:r>
          </w:p>
        </w:tc>
        <w:tc>
          <w:tcPr>
            <w:tcW w:type="dxa" w:w="3402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方案可能失效</w:t>
            </w:r>
          </w:p>
        </w:tc>
        <w:tc>
          <w:tcPr>
            <w:tcW w:type="dxa" w:w="7938"/>
            <w:vAlign w:val="center"/>
          </w:tcPr>
          <w:p>
            <w:pPr>
              <w:spacing w:after="0" w:before="0"/>
            </w:pPr>
            <w:r/>
            <w:r>
              <w:rPr>
                <w:rFonts w:ascii="Noto Sans CJK SC" w:hAnsi="Noto Sans CJK SC" w:eastAsia="Noto Sans CJK SC"/>
                <w:b w:val="0"/>
                <w:color w:val="000000"/>
                <w:sz w:val="18"/>
              </w:rPr>
              <w:t>暂停实施，重新完成九步设计。</w:t>
            </w:r>
          </w:p>
        </w:tc>
      </w:tr>
    </w:tbl>
    <w:p>
      <w:r>
        <w:t>本次总分：________ 分    综合风险：□低  □中  □高  □重大</w:t>
      </w:r>
    </w:p>
    <w:p>
      <w:r>
        <w:t>三项最优先整改事项：</w:t>
      </w:r>
    </w:p>
    <w:p>
      <w:r>
        <w:t>1. __________________________________________________________________________________</w:t>
      </w:r>
    </w:p>
    <w:p>
      <w:r>
        <w:t>2. __________________________________________________________________________________</w:t>
      </w:r>
    </w:p>
    <w:p>
      <w:r>
        <w:t>3. __________________________________________________________________________________</w:t>
      </w:r>
    </w:p>
    <w:p>
      <w:r>
        <w:t>建议完成时间：________________    责任人：________________    复核时间：________________</w:t>
      </w:r>
    </w:p>
    <w:p>
      <w:pPr>
        <w:pStyle w:val="Heading1"/>
      </w:pPr>
      <w:r>
        <w:t>七、使用边界与编制依据</w:t>
      </w:r>
    </w:p>
    <w:p>
      <w:r>
        <w:t>本工具用于企业内部自查、首次访谈和项目范围识别，不能替代针对具体企业的法律、财务、税务及交易判断。勾选“是”不当然表示不存在风险；勾选“否”也需要结合文件效力、形成过程和执行情况判断。</w:t>
      </w:r>
    </w:p>
    <w:p>
      <w:r>
        <w:t>编制口径主要参考现行《中华人民共和国公司法》、相关公司法司法解释和《最高人民法院关于民事诉讼证据的若干规定》，并结合企业股权架构、公司治理、股权激励、投融资与股东纠纷的实务场景。</w:t>
      </w:r>
    </w:p>
    <w:p>
      <w:r>
        <w:t>专业提示：股权方案应当做到股东能够理解、企业能够执行、未来能够调整、发生问题时能够处理。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850" w:right="822" w:bottom="765" w:left="822" w:header="340" w:footer="34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Noto Sans CJK SC" w:hAnsi="Noto Sans CJK SC" w:eastAsia="Noto Sans CJK SC"/>
        <w:color w:val="666666"/>
        <w:sz w:val="15"/>
      </w:rPr>
      <w:t>仅供企业自查与项目沟通使用，不构成针对具体事项的正式法律意见。</w:t>
    </w:r>
  </w:p>
  <w:p>
    <w:pPr>
      <w:jc w:val="right"/>
    </w:pPr>
    <w:r>
      <w:rPr>
        <w:rFonts w:ascii="Noto Sans CJK SC" w:hAnsi="Noto Sans CJK SC" w:eastAsia="Noto Sans CJK SC"/>
        <w:color w:val="666666"/>
        <w:sz w:val="16"/>
      </w:rPr>
      <w:t xml:space="preserve">第 </w:t>
      <w:fldChar w:fldCharType="begin"/>
      <w:instrText xml:space="preserve">PAGE</w:instrText>
      <w:fldChar w:fldCharType="end"/>
    </w:r>
    <w:r>
      <w:rPr>
        <w:rFonts w:ascii="Noto Sans CJK SC" w:hAnsi="Noto Sans CJK SC" w:eastAsia="Noto Sans CJK SC"/>
        <w:color w:val="666666"/>
        <w:sz w:val="16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Noto Sans CJK SC" w:hAnsi="Noto Sans CJK SC" w:eastAsia="Noto Sans CJK SC"/>
        <w:color w:val="666666"/>
        <w:sz w:val="16"/>
      </w:rPr>
      <w:t>陈辉律师·企业股权治理    |    公众号：陈律聊股权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80"/>
    </w:pPr>
    <w:rPr>
      <w:rFonts w:ascii="Noto Sans CJK SC" w:hAnsi="Noto Sans CJK SC" w:eastAsia="Noto Sans CJK S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24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F5D7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24D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17324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/>
  <ns0:TotalTime>0</ns0:TotalTime>
  <ns0:Pages>1</ns0:Pages>
  <ns0:Words>0</ns0:Words>
  <ns0:Characters>0</ns0:Characters>
  <ns0:Application>Microsoft Macintosh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0</ns0:CharactersWithSpaces>
  <ns0:SharedDoc>false</ns0:SharedDoc>
  <ns0:HyperlinkBase/>
  <ns0:HyperlinksChanged>false</ns0:HyperlinksChanged>
  <ns0:AppVersion>14.0000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股权治理实务法律工具箱</dc:subject>
  <dc:creator>陈辉律师</dc:creator>
  <cp:keywords>股权治理,公司治理,法律工具</cp:keywords>
  <dc:description/>
  <cp:lastModifiedBy/>
  <cp:revision>1</cp:revision>
  <dcterms:created xsi:type="dcterms:W3CDTF">2013-12-23T23:15:00Z</dcterms:created>
  <dcterms:modified xsi:type="dcterms:W3CDTF">2013-12-23T23:15:00Z</dcterms:modified>
  <cp:category>股权治理法律工具</cp:category>
  <cp:contentStatus>公开工具</cp:contentStatus>
  <dc:identifier/>
  <dc:language>zh-CN</dc:language>
</cp:coreProperties>
</file>