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Microsoft YaHei"/>
          <w:b/>
          <w:color w:val="000000"/>
          <w:sz w:val="40"/>
        </w:rPr>
        <w:t>股权激励避坑清单</w:t>
      </w:r>
    </w:p>
    <w:p>
      <w:pPr>
        <w:jc w:val="center"/>
      </w:pPr>
      <w:r>
        <w:rPr>
          <w:rFonts w:ascii="Arial" w:hAnsi="Arial" w:eastAsia="Microsoft YaHei"/>
          <w:color w:val="555555"/>
          <w:sz w:val="21"/>
        </w:rPr>
        <w:t>适合准备绑定高管、核心员工、门店负责人、项目负责人或销售团队的企业</w:t>
      </w:r>
    </w:p>
    <w:p>
      <w:r>
        <w:rPr>
          <w:rFonts w:ascii="Arial" w:hAnsi="Arial" w:eastAsia="Microsoft YaHei"/>
          <w:b w:val="0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5F7FA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r>
              <w:rPr>
                <w:rFonts w:ascii="Arial" w:hAnsi="Arial" w:eastAsia="Microsoft YaHei"/>
                <w:b/>
                <w:color w:val="1F4D78"/>
              </w:rPr>
              <w:t>陈律师提醒</w:t>
            </w:r>
          </w:p>
          <w:p>
            <w:r>
              <w:rPr>
                <w:rFonts w:ascii="Arial" w:hAnsi="Arial" w:eastAsia="Microsoft YaHei"/>
              </w:rPr>
              <w:t>股权激励不是简单分钱。没有进入条件、退出机制和绩效约束的激励，最后很容易从激励变成福利，从福利变成股东矛盾。</w:t>
            </w:r>
          </w:p>
        </w:tc>
      </w:tr>
    </w:tbl>
    <w:p/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一、做股权激励前，先判断适合哪种工具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48"/>
        <w:gridCol w:w="2448"/>
        <w:gridCol w:w="2448"/>
        <w:gridCol w:w="2448"/>
      </w:tblGrid>
      <w:tr>
        <w:tc>
          <w:tcPr>
            <w:tcW w:type="dxa" w:w="144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工具</w:t>
            </w:r>
          </w:p>
        </w:tc>
        <w:tc>
          <w:tcPr>
            <w:tcW w:type="dxa" w:w="2376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适用场景</w:t>
            </w:r>
          </w:p>
        </w:tc>
        <w:tc>
          <w:tcPr>
            <w:tcW w:type="dxa" w:w="2088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优点</w:t>
            </w:r>
          </w:p>
        </w:tc>
        <w:tc>
          <w:tcPr>
            <w:tcW w:type="dxa" w:w="2880"/>
            <w:shd w:fill="E8EEF5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  <w:b/>
                <w:color w:val="1F3A5F"/>
              </w:rPr>
              <w:t>风险提示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实股</w:t>
            </w:r>
          </w:p>
        </w:tc>
        <w:tc>
          <w:tcPr>
            <w:tcW w:type="dxa" w:w="237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核心合伙人、长期绑定对象</w:t>
            </w:r>
          </w:p>
        </w:tc>
        <w:tc>
          <w:tcPr>
            <w:tcW w:type="dxa" w:w="20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归属感强，激励力度大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退出难，影响控制权和股东人数。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虚拟股</w:t>
            </w:r>
          </w:p>
        </w:tc>
        <w:tc>
          <w:tcPr>
            <w:tcW w:type="dxa" w:w="237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中高管、核心骨干</w:t>
            </w:r>
          </w:p>
        </w:tc>
        <w:tc>
          <w:tcPr>
            <w:tcW w:type="dxa" w:w="20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不改工商股权，便于收回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需要清楚约定分红来源和退出规则。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分红权</w:t>
            </w:r>
          </w:p>
        </w:tc>
        <w:tc>
          <w:tcPr>
            <w:tcW w:type="dxa" w:w="237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利润中心、门店、项目负责人</w:t>
            </w:r>
          </w:p>
        </w:tc>
        <w:tc>
          <w:tcPr>
            <w:tcW w:type="dxa" w:w="20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与业绩挂钩，易理解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要避免变成固定福利。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期权/限制性股权</w:t>
            </w:r>
          </w:p>
        </w:tc>
        <w:tc>
          <w:tcPr>
            <w:tcW w:type="dxa" w:w="237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成长型公司、未来上市或融资企业</w:t>
            </w:r>
          </w:p>
        </w:tc>
        <w:tc>
          <w:tcPr>
            <w:tcW w:type="dxa" w:w="20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递延激励，绑定未来价值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授予、成熟、行权和退出要精细设计。</w:t>
            </w:r>
          </w:p>
        </w:tc>
      </w:tr>
      <w:tr>
        <w:tc>
          <w:tcPr>
            <w:tcW w:type="dxa" w:w="144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项目跟投</w:t>
            </w:r>
          </w:p>
        </w:tc>
        <w:tc>
          <w:tcPr>
            <w:tcW w:type="dxa" w:w="2376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项目制、投资型、区域拓展业务</w:t>
            </w:r>
          </w:p>
        </w:tc>
        <w:tc>
          <w:tcPr>
            <w:tcW w:type="dxa" w:w="208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风险共担，结果导向</w:t>
            </w:r>
          </w:p>
        </w:tc>
        <w:tc>
          <w:tcPr>
            <w:tcW w:type="dxa" w:w="288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</w:tcPr>
          <w:p>
            <w:r>
              <w:rPr>
                <w:rFonts w:ascii="Arial" w:hAnsi="Arial" w:eastAsia="Microsoft YaHei"/>
              </w:rPr>
              <w:t>要明确亏损、退出和决策权限。</w:t>
            </w:r>
          </w:p>
        </w:tc>
      </w:tr>
    </w:tbl>
    <w:p/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二、10个常见坑</w:t>
      </w:r>
    </w:p>
    <w:p>
      <w:pPr>
        <w:pStyle w:val="ListNumber"/>
      </w:pPr>
      <w:r>
        <w:rPr>
          <w:rFonts w:ascii="Arial" w:hAnsi="Arial" w:eastAsia="Microsoft YaHei"/>
        </w:rPr>
        <w:t>把股权激励当成涨工资，缺少业绩和服务期条件。</w:t>
      </w:r>
    </w:p>
    <w:p>
      <w:pPr>
        <w:pStyle w:val="ListNumber"/>
      </w:pPr>
      <w:r>
        <w:rPr>
          <w:rFonts w:ascii="Arial" w:hAnsi="Arial" w:eastAsia="Microsoft YaHei"/>
        </w:rPr>
        <w:t>一上来就给工商实股，没有考虑离职后如何退出。</w:t>
      </w:r>
    </w:p>
    <w:p>
      <w:pPr>
        <w:pStyle w:val="ListNumber"/>
      </w:pPr>
      <w:r>
        <w:rPr>
          <w:rFonts w:ascii="Arial" w:hAnsi="Arial" w:eastAsia="Microsoft YaHei"/>
        </w:rPr>
        <w:t>只写分红比例，不写亏损、退出、违约和回购。</w:t>
      </w:r>
    </w:p>
    <w:p>
      <w:pPr>
        <w:pStyle w:val="ListNumber"/>
      </w:pPr>
      <w:r>
        <w:rPr>
          <w:rFonts w:ascii="Arial" w:hAnsi="Arial" w:eastAsia="Microsoft YaHei"/>
        </w:rPr>
        <w:t>激励对象选错，把不该长期绑定的人变成股东。</w:t>
      </w:r>
    </w:p>
    <w:p>
      <w:pPr>
        <w:pStyle w:val="ListNumber"/>
      </w:pPr>
      <w:r>
        <w:rPr>
          <w:rFonts w:ascii="Arial" w:hAnsi="Arial" w:eastAsia="Microsoft YaHei"/>
        </w:rPr>
        <w:t>没有区分投票权、分红权、知情权和财产权。</w:t>
      </w:r>
    </w:p>
    <w:p>
      <w:pPr>
        <w:pStyle w:val="ListNumber"/>
      </w:pPr>
      <w:r>
        <w:rPr>
          <w:rFonts w:ascii="Arial" w:hAnsi="Arial" w:eastAsia="Microsoft YaHei"/>
        </w:rPr>
        <w:t>没有考虑创始人控制权，被激励对象反向牵制。</w:t>
      </w:r>
    </w:p>
    <w:p>
      <w:pPr>
        <w:pStyle w:val="ListNumber"/>
      </w:pPr>
      <w:r>
        <w:rPr>
          <w:rFonts w:ascii="Arial" w:hAnsi="Arial" w:eastAsia="Microsoft YaHei"/>
        </w:rPr>
        <w:t>没有配套劳动合同、保密协议、竞业限制和岗位职责。</w:t>
      </w:r>
    </w:p>
    <w:p>
      <w:pPr>
        <w:pStyle w:val="ListNumber"/>
      </w:pPr>
      <w:r>
        <w:rPr>
          <w:rFonts w:ascii="Arial" w:hAnsi="Arial" w:eastAsia="Microsoft YaHei"/>
        </w:rPr>
        <w:t>股权一次到位，没有分期成熟或递延安排。</w:t>
      </w:r>
    </w:p>
    <w:p>
      <w:pPr>
        <w:pStyle w:val="ListNumber"/>
      </w:pPr>
      <w:r>
        <w:rPr>
          <w:rFonts w:ascii="Arial" w:hAnsi="Arial" w:eastAsia="Microsoft YaHei"/>
        </w:rPr>
        <w:t>把股权激励方案照搬大公司，没有结合企业现金流和发展阶段。</w:t>
      </w:r>
    </w:p>
    <w:p>
      <w:pPr>
        <w:pStyle w:val="ListNumber"/>
      </w:pPr>
      <w:r>
        <w:rPr>
          <w:rFonts w:ascii="Arial" w:hAnsi="Arial" w:eastAsia="Microsoft YaHei"/>
        </w:rPr>
        <w:t>没有提前测算税务、财务和退出成本。</w:t>
      </w:r>
    </w:p>
    <w:p>
      <w:pPr>
        <w:pStyle w:val="Heading1"/>
      </w:pPr>
      <w:r>
        <w:rPr>
          <w:rFonts w:ascii="Arial" w:hAnsi="Arial" w:eastAsia="Microsoft YaHei"/>
          <w:b w:val="0"/>
          <w:color w:val="000000"/>
        </w:rPr>
        <w:t>三、老板可以先做的三步</w:t>
      </w:r>
    </w:p>
    <w:p>
      <w:pPr>
        <w:pStyle w:val="ListBullet"/>
      </w:pPr>
      <w:r>
        <w:rPr>
          <w:rFonts w:ascii="Arial" w:hAnsi="Arial" w:eastAsia="Microsoft YaHei"/>
        </w:rPr>
        <w:t>第一步：列出真正需要长期绑定的人，而不是所有优秀员工。</w:t>
      </w:r>
    </w:p>
    <w:p>
      <w:pPr>
        <w:pStyle w:val="ListBullet"/>
      </w:pPr>
      <w:r>
        <w:rPr>
          <w:rFonts w:ascii="Arial" w:hAnsi="Arial" w:eastAsia="Microsoft YaHei"/>
        </w:rPr>
        <w:t>第二步：先确定激励目的，是留人、增业绩、做利润中心，还是为融资上市做规范。</w:t>
      </w:r>
    </w:p>
    <w:p>
      <w:pPr>
        <w:pStyle w:val="ListBullet"/>
      </w:pPr>
      <w:r>
        <w:rPr>
          <w:rFonts w:ascii="Arial" w:hAnsi="Arial" w:eastAsia="Microsoft YaHei"/>
        </w:rPr>
        <w:t>第三步：先做方案模拟，再签协议，不要先口头承诺股份。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5F7FA"/>
            <w:tcMar>
              <w:top w:w="140" w:type="dxa"/>
              <w:bottom w:w="140" w:type="dxa"/>
              <w:start w:w="180" w:type="dxa"/>
              <w:end w:w="180" w:type="dxa"/>
            </w:tcMar>
          </w:tcPr>
          <w:p>
            <w:r>
              <w:rPr>
                <w:rFonts w:ascii="Arial" w:hAnsi="Arial" w:eastAsia="Microsoft YaHei"/>
                <w:b/>
                <w:color w:val="1F4D78"/>
              </w:rPr>
              <w:t>使用提示</w:t>
            </w:r>
          </w:p>
          <w:p>
            <w:r>
              <w:rPr>
                <w:rFonts w:ascii="Arial" w:hAnsi="Arial" w:eastAsia="Microsoft YaHei"/>
              </w:rPr>
              <w:t>本资料用于企业内部初步自查和沟通，不构成针对个案的正式法律、税务或财务意见。具体方案需要结合股东结构、公司章程、历史文件、财务税务资料和企业发展阶段综合判断。</w:t>
            </w:r>
          </w:p>
        </w:tc>
      </w:tr>
    </w:tbl>
    <w:p/>
    <w:p>
      <w:r>
        <w:rPr>
          <w:rFonts w:ascii="Arial" w:hAnsi="Arial" w:eastAsia="Microsoft YaHei"/>
          <w:b/>
          <w:color w:val="1F4D78"/>
        </w:rPr>
        <w:t>如需进一步判断，可联系陈辉律师团队做一次初步沟通。</w:t>
      </w:r>
    </w:p>
    <w:sectPr w:rsidR="00FC693F" w:rsidRPr="0006063C" w:rsidSect="00034616">
      <w:pgSz w:w="12240" w:h="15840"/>
      <w:pgMar w:top="1152" w:right="1224" w:bottom="115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60"/>
      <w:outlineLvl w:val="2"/>
    </w:pPr>
    <w:rPr>
      <w:rFonts w:asciiTheme="majorHAnsi" w:eastAsiaTheme="majorEastAsia" w:hAnsiTheme="majorHAnsi" w:cstheme="majorBidi" w:ascii="Arial" w:hAnsi="Arial" w:eastAsia="Microsoft YaHei"/>
      <w:b w:val="0"/>
      <w:bCs/>
      <w:color w:val="000000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76" w:lineRule="auto"/>
      <w:contextualSpacing/>
    </w:pPr>
    <w:rPr>
      <w:rFonts w:ascii="Arial" w:hAnsi="Arial" w:eastAsia="Microsoft YaHe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20" w:line="276" w:lineRule="auto"/>
      <w:contextualSpacing/>
    </w:pPr>
    <w:rPr>
      <w:rFonts w:ascii="Arial" w:hAnsi="Arial" w:eastAsia="Microsoft YaHe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/>
  <ns0:TotalTime>0</ns0:TotalTime>
  <ns0:Pages>1</ns0:Pages>
  <ns0:Words>0</ns0:Words>
  <ns0:Characters>0</ns0:Characters>
  <ns0:Application>Microsoft Macintosh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0</ns0:CharactersWithSpaces>
  <ns0:SharedDoc>false</ns0:SharedDoc>
  <ns0:HyperlinkBase/>
  <ns0:HyperlinksChanged>false</ns0:HyperlinksChanged>
  <ns0:AppVersion>14.0000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股权治理实务法律工具箱</dc:subject>
  <dc:creator>陈辉律师</dc:creator>
  <cp:keywords>股权治理,公司治理,法律工具</cp:keywords>
  <dc:description/>
  <cp:lastModifiedBy/>
  <cp:revision>1</cp:revision>
  <dcterms:created xsi:type="dcterms:W3CDTF">2013-12-23T23:15:00Z</dcterms:created>
  <dcterms:modified xsi:type="dcterms:W3CDTF">2013-12-23T23:15:00Z</dcterms:modified>
  <cp:category>股权治理法律工具</cp:category>
  <cp:contentStatus>公开工具</cp:contentStatus>
  <dc:identifier/>
  <dc:language>zh-CN</dc:language>
</cp:coreProperties>
</file>