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rFonts w:ascii="Noto Serif CJK SC" w:hAnsi="Noto Serif CJK SC" w:eastAsia="Noto Serif CJK SC"/>
          <w:b/>
          <w:color w:val="2F5597"/>
          <w:sz w:val="32"/>
        </w:rPr>
        <w:t>股权法律工具箱</w:t>
      </w:r>
    </w:p>
    <w:p>
      <w:pPr>
        <w:spacing w:before="360"/>
        <w:jc w:val="center"/>
      </w:pPr>
      <w:r>
        <w:rPr>
          <w:rFonts w:ascii="Noto Serif CJK SC" w:hAnsi="Noto Serif CJK SC" w:eastAsia="Noto Serif CJK SC"/>
          <w:b/>
          <w:color w:val="17365D"/>
          <w:sz w:val="50"/>
        </w:rPr>
        <w:t>股权激励方案诊断表</w:t>
      </w:r>
    </w:p>
    <w:p>
      <w:pPr>
        <w:spacing w:before="280"/>
        <w:jc w:val="center"/>
      </w:pPr>
      <w:r>
        <w:rPr>
          <w:rFonts w:ascii="Noto Sans CJK SC" w:hAnsi="Noto Sans CJK SC" w:eastAsia="Noto Sans CJK SC"/>
          <w:b w:val="0"/>
          <w:color w:val="666666"/>
          <w:sz w:val="23"/>
        </w:rPr>
        <w:t>先诊断企业和人才问题，再选择股权工具</w:t>
      </w:r>
    </w:p>
    <w:p>
      <w:pPr>
        <w:spacing w:before="1100"/>
        <w:jc w:val="center"/>
      </w:pPr>
      <w:r>
        <w:rPr>
          <w:rFonts w:ascii="Noto Sans CJK SC" w:hAnsi="Noto Sans CJK SC" w:eastAsia="Noto Sans CJK SC"/>
          <w:b/>
          <w:color w:val="17365D"/>
          <w:sz w:val="22"/>
        </w:rPr>
        <w:t>股权律师陈辉 · 2026版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8221"/>
            <w:shd w:fill="EEF5FB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使用提示：本工具用于发现问题、统一认知和形成项目讨论底稿，不替代针对具体企业的法律、税务、财务及商业判断。重大股权安排应结合公司阶段、股东关系、交易目的和现行规则进行专项设计。</w:t>
            </w:r>
          </w:p>
        </w:tc>
      </w:tr>
    </w:tbl>
    <w:p>
      <w:r>
        <w:br w:type="page"/>
      </w:r>
    </w:p>
    <w:p>
      <w:pPr>
        <w:pStyle w:val="Heading1"/>
      </w:pPr>
      <w:r>
        <w:t>一、工具说明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解决什么问题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判断企业是否具备实施股权激励的基础，明确激励目的、对象、成本、工具和退出机制，防止把“给股份”误当成完整方案。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适用对象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拟留住核心人才、提升利润、培养事业合伙人、推动上市或建立项目跟投机制的企业。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使用方法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先完成企业准备度诊断，再完成对象、工具和制度风险诊断；出现红色预警时应先整改，再启动授予。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形成的输出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实施必要性结论、企业准备度评分、建议工具、项目优先级和方案设计资料清单。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使用原则：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先填写事实，再做评分；先识别风险，再讨论比例或条款。无法确认的事项统一标记为“待核实”，不要用主观判断代替证据。</w:t>
            </w:r>
          </w:p>
        </w:tc>
      </w:tr>
    </w:tbl>
    <w:p/>
    <w:p>
      <w:pPr>
        <w:pStyle w:val="Heading1"/>
      </w:pPr>
      <w:r>
        <w:t>二、企业基本情况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企业名称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行业与主营业务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成立时间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员工人数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最近三年营业收入/利润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股东及控制权结构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本次激励主要原因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计划实施时间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</w:tbl>
    <w:p/>
    <w:p>
      <w:pPr>
        <w:pStyle w:val="Heading1"/>
      </w:pPr>
      <w:r>
        <w:t>三、激励目标诊断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170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目标</w:t>
            </w:r>
          </w:p>
        </w:tc>
        <w:tc>
          <w:tcPr>
            <w:tcW w:type="dxa" w:w="130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优先级（1-3）</w:t>
            </w:r>
          </w:p>
        </w:tc>
        <w:tc>
          <w:tcPr>
            <w:tcW w:type="dxa" w:w="289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目前痛点</w:t>
            </w:r>
          </w:p>
        </w:tc>
        <w:tc>
          <w:tcPr>
            <w:tcW w:type="dxa" w:w="3175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希望三年后达到的结果</w:t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留住核心人才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提升年度业绩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推动长期战略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培养经营合伙人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解决薪酬上限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推动组织裂变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上市/融资前规范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项目风险共担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创始人逐步授权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诊断提示：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激励目的超过三项且没有主次，通常会导致方案复杂、考核冲突。应先确定一个主目标和不超过两个辅助目标。</w:t>
            </w:r>
          </w:p>
        </w:tc>
      </w:tr>
    </w:tbl>
    <w:p/>
    <w:p>
      <w:pPr>
        <w:pStyle w:val="Heading1"/>
      </w:pPr>
      <w:r>
        <w:t>四、企业准备度100分诊断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rPr>
          <w:tblHeader w:val="true"/>
        </w:trPr>
        <w:tc>
          <w:tcPr>
            <w:tcW w:type="dxa" w:w="153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维度</w:t>
            </w:r>
          </w:p>
        </w:tc>
        <w:tc>
          <w:tcPr>
            <w:tcW w:type="dxa" w:w="73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满分</w:t>
            </w:r>
          </w:p>
        </w:tc>
        <w:tc>
          <w:tcPr>
            <w:tcW w:type="dxa" w:w="3402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关键问题</w:t>
            </w:r>
          </w:p>
        </w:tc>
        <w:tc>
          <w:tcPr>
            <w:tcW w:type="dxa" w:w="85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得分</w:t>
            </w:r>
          </w:p>
        </w:tc>
        <w:tc>
          <w:tcPr>
            <w:tcW w:type="dxa" w:w="255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证据/说明</w:t>
            </w:r>
          </w:p>
        </w:tc>
      </w:tr>
      <w:tr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战略清晰度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15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未来三年战略、业务单元和关键岗位是否明确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盈利与现金流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15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是否具备可持续利润、分红或回购支付能力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治理基础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15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股权结构、章程、决策与财务权限是否清晰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人才基础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15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激励对象是否经过分层、评价和长期观察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业绩管理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15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是否有预算、绩效指标、财务核算和数据验证机制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退出可执行性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15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离职、未达标、违约和公司回购是否可处理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合规与税务</w:t>
            </w:r>
          </w:p>
        </w:tc>
        <w:tc>
          <w:tcPr>
            <w:tcW w:type="dxa" w:w="73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10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工具、授予、登记、税务、劳动关系是否可落地</w:t>
            </w:r>
          </w:p>
        </w:tc>
        <w:tc>
          <w:tcPr>
            <w:tcW w:type="dxa" w:w="85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评分结论：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80分以上：可进入方案设计；65—79分：边整改边设计；50—64分：先补治理和绩效基础；低于50分：暂不建议启动。</w:t>
            </w:r>
          </w:p>
        </w:tc>
      </w:tr>
    </w:tbl>
    <w:p/>
    <w:p>
      <w:pPr>
        <w:pStyle w:val="Heading1"/>
      </w:pPr>
      <w:r>
        <w:t>五、激励对象分层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rPr>
          <w:tblHeader w:val="true"/>
        </w:trPr>
        <w:tc>
          <w:tcPr>
            <w:tcW w:type="dxa" w:w="136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人员层级</w:t>
            </w:r>
          </w:p>
        </w:tc>
        <w:tc>
          <w:tcPr>
            <w:tcW w:type="dxa" w:w="198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典型对象</w:t>
            </w:r>
          </w:p>
        </w:tc>
        <w:tc>
          <w:tcPr>
            <w:tcW w:type="dxa" w:w="289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核心判断</w:t>
            </w:r>
          </w:p>
        </w:tc>
        <w:tc>
          <w:tcPr>
            <w:tcW w:type="dxa" w:w="181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建议工具</w:t>
            </w:r>
          </w:p>
        </w:tc>
        <w:tc>
          <w:tcPr>
            <w:tcW w:type="dxa" w:w="102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拟纳入人数</w:t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事业合伙人</w:t>
            </w:r>
          </w:p>
        </w:tc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公司级高管、关键业务负责人</w:t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未来重要、对结果负责、替代成本高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实股/限制性股权/长期期权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经营合伙人</w:t>
            </w:r>
          </w:p>
        </w:tc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事业部、区域、产品线负责人</w:t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承担独立利润或业务结果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虚拟股/期权/超额利润分成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核心骨干</w:t>
            </w:r>
          </w:p>
        </w:tc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技术、销售、运营等关键岗位</w:t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持续创造关键价值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期权/虚拟股/分红权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项目人才</w:t>
            </w:r>
          </w:p>
        </w:tc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项目经理、投资负责人</w:t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与单一项目收益强关联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项目跟投/项目分红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普通员工</w:t>
            </w:r>
          </w:p>
        </w:tc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岗位贡献可通过薪酬衡量</w:t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不具备长期稀缺性</w:t>
            </w:r>
          </w:p>
        </w:tc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奖金/绩效工资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t>六、激励工具适配诊断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113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工具</w:t>
            </w:r>
          </w:p>
        </w:tc>
        <w:tc>
          <w:tcPr>
            <w:tcW w:type="dxa" w:w="192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适用对象</w:t>
            </w:r>
          </w:p>
        </w:tc>
        <w:tc>
          <w:tcPr>
            <w:tcW w:type="dxa" w:w="272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主要价值</w:t>
            </w:r>
          </w:p>
        </w:tc>
        <w:tc>
          <w:tcPr>
            <w:tcW w:type="dxa" w:w="3288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重点风险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实股</w:t>
            </w:r>
          </w:p>
        </w:tc>
        <w:tc>
          <w:tcPr>
            <w:tcW w:type="dxa" w:w="192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核心事业合伙人</w:t>
            </w:r>
          </w:p>
        </w:tc>
        <w:tc>
          <w:tcPr>
            <w:tcW w:type="dxa" w:w="272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真实股东权利、长期绑定</w:t>
            </w:r>
          </w:p>
        </w:tc>
        <w:tc>
          <w:tcPr>
            <w:tcW w:type="dxa" w:w="328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控制权、登记、退出和股东纠纷风险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期权</w:t>
            </w:r>
          </w:p>
        </w:tc>
        <w:tc>
          <w:tcPr>
            <w:tcW w:type="dxa" w:w="192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成长型核心人才</w:t>
            </w:r>
          </w:p>
        </w:tc>
        <w:tc>
          <w:tcPr>
            <w:tcW w:type="dxa" w:w="272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未来达标后取得权益</w:t>
            </w:r>
          </w:p>
        </w:tc>
        <w:tc>
          <w:tcPr>
            <w:tcW w:type="dxa" w:w="328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行权价格、期限、成熟和离职处理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虚拟股</w:t>
            </w:r>
          </w:p>
        </w:tc>
        <w:tc>
          <w:tcPr>
            <w:tcW w:type="dxa" w:w="192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中高层和业务负责人</w:t>
            </w:r>
          </w:p>
        </w:tc>
        <w:tc>
          <w:tcPr>
            <w:tcW w:type="dxa" w:w="272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分享收益但不改变登记股权</w:t>
            </w:r>
          </w:p>
        </w:tc>
        <w:tc>
          <w:tcPr>
            <w:tcW w:type="dxa" w:w="328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收益口径、税务、公司支付能力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分红权</w:t>
            </w:r>
          </w:p>
        </w:tc>
        <w:tc>
          <w:tcPr>
            <w:tcW w:type="dxa" w:w="192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利润稳定企业的骨干</w:t>
            </w:r>
          </w:p>
        </w:tc>
        <w:tc>
          <w:tcPr>
            <w:tcW w:type="dxa" w:w="272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直接绑定利润或超额利润</w:t>
            </w:r>
          </w:p>
        </w:tc>
        <w:tc>
          <w:tcPr>
            <w:tcW w:type="dxa" w:w="328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核算口径和短期行为风险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项目跟投</w:t>
            </w:r>
          </w:p>
        </w:tc>
        <w:tc>
          <w:tcPr>
            <w:tcW w:type="dxa" w:w="192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项目制或投资型业务</w:t>
            </w:r>
          </w:p>
        </w:tc>
        <w:tc>
          <w:tcPr>
            <w:tcW w:type="dxa" w:w="272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收益与项目风险共同承担</w:t>
            </w:r>
          </w:p>
        </w:tc>
        <w:tc>
          <w:tcPr>
            <w:tcW w:type="dxa" w:w="328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亏损承担、退出和关联交易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147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拟选工具</w:t>
            </w:r>
          </w:p>
        </w:tc>
        <w:tc>
          <w:tcPr>
            <w:tcW w:type="dxa" w:w="266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选择理由</w:t>
            </w:r>
          </w:p>
        </w:tc>
        <w:tc>
          <w:tcPr>
            <w:tcW w:type="dxa" w:w="266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不选其他工具的理由</w:t>
            </w:r>
          </w:p>
        </w:tc>
        <w:tc>
          <w:tcPr>
            <w:tcW w:type="dxa" w:w="2268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需验证事项</w:t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6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6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6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6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6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6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</w:tbl>
    <w:p/>
    <w:p>
      <w:pPr>
        <w:pStyle w:val="Heading1"/>
      </w:pPr>
      <w:r>
        <w:t>七、方案核心机制检查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rPr>
          <w:tblHeader w:val="true"/>
        </w:trPr>
        <w:tc>
          <w:tcPr>
            <w:tcW w:type="dxa" w:w="136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模块</w:t>
            </w:r>
          </w:p>
        </w:tc>
        <w:tc>
          <w:tcPr>
            <w:tcW w:type="dxa" w:w="3402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必须明确的内容</w:t>
            </w:r>
          </w:p>
        </w:tc>
        <w:tc>
          <w:tcPr>
            <w:tcW w:type="dxa" w:w="141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现状</w:t>
            </w:r>
          </w:p>
        </w:tc>
        <w:tc>
          <w:tcPr>
            <w:tcW w:type="dxa" w:w="136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风险等级</w:t>
            </w:r>
          </w:p>
        </w:tc>
        <w:tc>
          <w:tcPr>
            <w:tcW w:type="dxa" w:w="153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整改动作</w:t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激励额度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总池、个人额度、稀释承担和动态补充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授予价格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无偿/有偿、定价依据、支付期限和税费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成熟机制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服务期、年度成熟、里程碑和加速成熟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绩效条件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公司、业务单元、个人指标及一票否决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权利边界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表决、分红、知情、转让和质押限制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退出机制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善意/恶意退出、价格、支付和交接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控制权保护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表决权、董事会、持股平台和授权边界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文件体系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方案、协议、决议、章程、平台和台账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税务合规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授予、行权、转让、分红和回购税务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持续管理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年度复盘、调整、回收和补授机制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□低 □中 □高</w:t>
            </w:r>
          </w:p>
        </w:tc>
        <w:tc>
          <w:tcPr>
            <w:tcW w:type="dxa" w:w="153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t>八、红色预警事项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56"/>
      </w:tblGrid>
      <w:tr>
        <w:trPr>
          <w:tblHeader w:val="true"/>
        </w:trPr>
        <w:tc>
          <w:tcPr>
            <w:tcW w:type="dxa" w:w="9128"/>
            <w:shd w:fill="2F55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检查项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老板口头承诺后再补规则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以股权挽留已决定离职的人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未区分员工、骨干和事业合伙人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先登记实股再设置考核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没有业绩数据和财务核算基础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离职后仍可永久持有全部权益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回购价格和资金来源不明确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激励池导致创始人控制权失衡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股权工具与劳动合同、竞业、知识产权不联动</w:t>
            </w:r>
          </w:p>
        </w:tc>
      </w:tr>
      <w:tr>
        <w:tc>
          <w:tcPr>
            <w:tcW w:type="dxa" w:w="912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只讲收益不讲风险、出资和长期责任</w:t>
            </w:r>
          </w:p>
        </w:tc>
      </w:tr>
    </w:tbl>
    <w:p/>
    <w:p>
      <w:pPr>
        <w:pStyle w:val="Heading1"/>
      </w:pPr>
      <w:r>
        <w:t>九、诊断结论与项目建议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准备度得分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____ / 100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实施结论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□ 立即设计  □ 整改后设计  □ 暂缓实施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首选工具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优先激励对象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必须先整改事项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1.</w:t>
              <w:br/>
              <w:t>2.</w:t>
              <w:br/>
              <w:t>3.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方案预计文件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□ 总体方案  □ 授予协议  □ 持股平台  □ 公司决议  □ 章程修改  □ 管理办法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下一次评审日期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</w:tbl>
    <w:p/>
    <w:p>
      <w:pPr>
        <w:pStyle w:val="Heading1"/>
      </w:pPr>
      <w:r>
        <w:t>编制依据与使用边界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《中华人民共和国公司法》（2023年修订，自2024年7月1日起施行）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《中华人民共和国民法典》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《中华人民共和国民事诉讼法》（2023年修正）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《最高人民法院关于民事诉讼证据的若干规定》（2019年修正）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其他与公司登记、税务、劳动用工、证券监管及争议解决相关的现行规定。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2F2F2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重要说明：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本文件为通用诊断与项目沟通工具。公司章程、股东协议、激励方案、投资协议和诉讼策略均应结合具体事实审查；涉及登记、税务、外汇、国资、上市公司或特殊行业监管时，应另行核验。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64" w:right="992" w:bottom="879" w:left="992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Noto Sans CJK SC" w:hAnsi="Noto Sans CJK SC" w:eastAsia="Noto Sans CJK SC"/>
        <w:b w:val="0"/>
        <w:color w:val="666666"/>
        <w:sz w:val="16"/>
      </w:rPr>
      <w:t>EQ-04  |  仅供企业自查与项目沟通使用</w:t>
    </w:r>
  </w:p>
  <w:p>
    <w:pPr>
      <w:jc w:val="right"/>
    </w:pPr>
    <w:r>
      <w:rPr>
        <w:rFonts w:ascii="Noto Sans CJK SC" w:hAnsi="Noto Sans CJK SC" w:eastAsia="Noto Sans CJK SC"/>
        <w:b w:val="0"/>
        <w:color w:val="666666"/>
        <w:sz w:val="17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b w:val="0"/>
        <w:color w:val="666666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b w:val="0"/>
        <w:color w:val="666666"/>
        <w:sz w:val="17"/>
      </w:rPr>
      <w:t>股权律师陈辉  |  股权法律工具箱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93" w:lineRule="auto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Noto Serif CJK SC" w:hAnsi="Noto Serif CJK SC" w:eastAsia="Noto Serif CJK SC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59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40"/>
      <w:contextualSpacing/>
    </w:pPr>
    <w:rPr>
      <w:rFonts w:asciiTheme="majorHAnsi" w:eastAsiaTheme="majorEastAsia" w:hAnsiTheme="majorHAnsi" w:cstheme="majorBidi" w:ascii="Noto Serif CJK SC" w:hAnsi="Noto Serif CJK SC" w:eastAsia="Noto Serif CJK SC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