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50"/>
        <w:jc w:val="center"/>
      </w:pPr>
      <w:r>
        <w:rPr>
          <w:rFonts w:ascii="Noto Sans CJK SC" w:hAnsi="Noto Sans CJK SC" w:eastAsia="Noto Sans CJK SC"/>
          <w:b/>
          <w:color w:val="B28B4A"/>
          <w:sz w:val="26"/>
        </w:rPr>
        <w:t>陈辉律师股权法律工具箱</w:t>
      </w:r>
    </w:p>
    <w:p>
      <w:pPr>
        <w:spacing w:before="454"/>
        <w:jc w:val="center"/>
      </w:pPr>
      <w:r>
        <w:rPr>
          <w:rFonts w:ascii="Noto Sans CJK SC" w:hAnsi="Noto Sans CJK SC" w:eastAsia="Noto Sans CJK SC"/>
          <w:b/>
          <w:color w:val="17324D"/>
          <w:sz w:val="50"/>
        </w:rPr>
        <w:t>股权纠纷证据清单</w:t>
      </w:r>
    </w:p>
    <w:p>
      <w:pPr>
        <w:jc w:val="center"/>
      </w:pPr>
      <w:r>
        <w:rPr>
          <w:rFonts w:ascii="Noto Sans CJK SC" w:hAnsi="Noto Sans CJK SC" w:eastAsia="Noto Sans CJK SC"/>
          <w:color w:val="2F5D7C"/>
          <w:sz w:val="24"/>
        </w:rPr>
        <w:t>从事实时间线到证据地图：证明什么、在哪里、如何固定、还缺什么</w:t>
      </w:r>
    </w:p>
    <w:p>
      <w:pPr>
        <w:spacing w:before="510"/>
        <w:jc w:val="center"/>
      </w:pPr>
      <w:r>
        <w:rPr>
          <w:rFonts w:ascii="Noto Sans CJK SC" w:hAnsi="Noto Sans CJK SC" w:eastAsia="Noto Sans CJK SC"/>
          <w:color w:val="666666"/>
          <w:sz w:val="18"/>
        </w:rPr>
        <w:t>工具编号：EQ-07    版本：2026年7月</w:t>
      </w:r>
    </w:p>
    <w:p>
      <w:pPr>
        <w:spacing w:before="567"/>
        <w:jc w:val="center"/>
      </w:pPr>
      <w:r>
        <w:rPr>
          <w:rFonts w:ascii="Noto Sans CJK SC" w:hAnsi="Noto Sans CJK SC" w:eastAsia="Noto Sans CJK SC"/>
          <w:color w:val="17324D"/>
          <w:sz w:val="20"/>
        </w:rPr>
        <w:t>企业名称：____________________________    填写人：____________    日期：____________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194"/>
      </w:tblGrid>
      <w:tr>
        <w:tc>
          <w:tcPr>
            <w:tcW w:type="dxa" w:w="12474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17324D"/>
                <w:sz w:val="19"/>
              </w:rPr>
              <w:t>使用提示：请以公司当前实际情况填写，不要按“希望达到的状态”作答。存在重大股东矛盾、融资交易或诉讼时，应结合章程、协议、工商档案、出资、财务及证据材料进行专项判断。</w:t>
            </w:r>
          </w:p>
        </w:tc>
      </w:tr>
    </w:tbl>
    <w:p>
      <w:r>
        <w:br w:type="page"/>
      </w:r>
    </w:p>
    <w:p>
      <w:pPr>
        <w:pStyle w:val="Heading1"/>
      </w:pPr>
      <w:r>
        <w:t>一、工具用途</w:t>
      </w:r>
    </w:p>
    <w:p>
      <w:r>
        <w:t>用于股东资格、出资、代持、转让、分红、知情权、控制权、退出、回购及损害公司利益等纠纷的证据盘点。重点不是机械收集文件，而是让每份证据都对应待证明事实、来源、真实性和补强路径。</w:t>
      </w:r>
    </w:p>
    <w:p>
      <w:pPr>
        <w:pStyle w:val="Heading1"/>
      </w:pPr>
      <w:r>
        <w:t>二、填写方法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1. 由企业负责人、财务负责人和法律顾问根据现有文件及实际执行情况共同填写。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2. 状态口径：已取得=已获得原件或可验证电子数据；待调取=线索明确但尚未合法取得；有缺口=关键事实缺少证据或真实性存在风险。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3. “缺失”或“高风险”不代表当然违法，但表示该事项缺少适配企业实际情况的规则或证据。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4. 整改时应同步处理章程、协议、决议、制度、工商登记和实际执行，避免文件之间相互冲突。</w:t>
      </w:r>
    </w:p>
    <w:p>
      <w:pPr>
        <w:pStyle w:val="Heading1"/>
      </w:pPr>
      <w:r>
        <w:t>四、企业基础信息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798"/>
        <w:gridCol w:w="3798"/>
        <w:gridCol w:w="3798"/>
        <w:gridCol w:w="3798"/>
      </w:tblGrid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企业名称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成立时间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主营业务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发展阶段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□设立期  □成长期  □融资期  □成熟期</w:t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股东人数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实际控制人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是否融资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□否  □筹备中  □已融资</w:t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是否存在纠纷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□否  □潜在分歧  □已发生</w:t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现有文件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□章程  □股东协议  □投资协议  □激励文件</w:t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本次重点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</w:tr>
    </w:tbl>
    <w:p>
      <w:pPr>
        <w:pStyle w:val="Heading1"/>
      </w:pPr>
      <w:r>
        <w:t>五、项目清单</w:t>
      </w:r>
    </w:p>
    <w:p>
      <w:pPr>
        <w:pStyle w:val="Heading2"/>
      </w:pPr>
      <w:r>
        <w:t>A. 主体、股权与工商基础证据（1—10）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32"/>
        <w:gridCol w:w="2532"/>
        <w:gridCol w:w="2532"/>
        <w:gridCol w:w="2532"/>
        <w:gridCol w:w="2532"/>
        <w:gridCol w:w="2532"/>
      </w:tblGrid>
      <w:tr>
        <w:trPr>
          <w:tblHeader w:val="true"/>
        </w:trPr>
        <w:tc>
          <w:tcPr>
            <w:tcW w:type="dxa" w:w="51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3912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证据名称/材料</w:t>
            </w:r>
          </w:p>
        </w:tc>
        <w:tc>
          <w:tcPr>
            <w:tcW w:type="dxa" w:w="3969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主要证明目的</w:t>
            </w:r>
          </w:p>
        </w:tc>
        <w:tc>
          <w:tcPr>
            <w:tcW w:type="dxa" w:w="226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来源/保管人</w:t>
            </w:r>
          </w:p>
        </w:tc>
        <w:tc>
          <w:tcPr>
            <w:tcW w:type="dxa" w:w="1984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状态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固定与补强建议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1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营业执照、历次工商登记档案。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证明公司主体、股东、法定代表人和登记变化。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市场监管部门/公司档案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取得加盖档案查询章版本。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2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历版公司章程及章程修正案。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证明组织机构、表决、转让、分红和退出规则。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公司/工商档案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按时间顺序编号并核对生效程序。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3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股东名册、出资证明书。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证明公司内部确认的股东身份与出资。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保留原件或形成过程。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4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股权架构图及间接持股资料。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证明实际控制、持股平台和关联关系。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公司/企业查询平台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标明时间点和信息来源。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5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股权代持、信托或委托持股协议。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证明名义股东与实际权益安排。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当事人/中介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核验原件、签署时间及履行证据。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6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股东身份证明、主体资格资料。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证明当事人及诉讼主体资格。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当事人/登记机关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注意有效期及境外主体证明。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7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股权质押、冻结、查封信息。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证明股权处分限制及执行风险。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登记机关/法院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保留查询时间和文书。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8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关联公司工商档案。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证明关联交易、资产转移或控制关系。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市场监管部门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绘制关联关系图。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9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公司印章、证照、账户保管清单。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证明关键经营载体控制和交接。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拍照、盘点并记录保管人。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10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电子系统账号及权限清单。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证明财务、合同、客户及数据控制。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公司IT/平台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合法固定日志和权限截图。</w:t>
            </w:r>
          </w:p>
        </w:tc>
      </w:tr>
    </w:tbl>
    <w:p>
      <w:pPr>
        <w:pStyle w:val="Heading2"/>
      </w:pPr>
      <w:r>
        <w:t>B. 出资与股东资格证据（11—18）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32"/>
        <w:gridCol w:w="2532"/>
        <w:gridCol w:w="2532"/>
        <w:gridCol w:w="2532"/>
        <w:gridCol w:w="2532"/>
        <w:gridCol w:w="2532"/>
      </w:tblGrid>
      <w:tr>
        <w:trPr>
          <w:tblHeader w:val="true"/>
        </w:trPr>
        <w:tc>
          <w:tcPr>
            <w:tcW w:type="dxa" w:w="51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3912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证据名称/材料</w:t>
            </w:r>
          </w:p>
        </w:tc>
        <w:tc>
          <w:tcPr>
            <w:tcW w:type="dxa" w:w="3969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主要证明目的</w:t>
            </w:r>
          </w:p>
        </w:tc>
        <w:tc>
          <w:tcPr>
            <w:tcW w:type="dxa" w:w="226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来源/保管人</w:t>
            </w:r>
          </w:p>
        </w:tc>
        <w:tc>
          <w:tcPr>
            <w:tcW w:type="dxa" w:w="1984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状态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固定与补强建议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11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银行转账凭证、进账单、验资资料。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证明出资金额、时间、账户和用途。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银行/公司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优先取得银行盖章流水。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12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非货币出资评估、交付和权属转移文件。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证明技术、设备、知识产权等出资完成。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评估机构/登记部门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核验权属和实际使用。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13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股东出资承诺、催缴通知及送达证明。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证明出资义务、迟延和公司催缴程序。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公司/通信平台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保留原始通知及送达数据。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14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会计账簿中实收资本、资本公积记录。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证明公司财务对出资的确认。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公司财务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与银行流水、工商登记交叉核对。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15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股东会议或决议对股东资格的确认。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证明公司及其他股东的认可。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核验会议程序和签字。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16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分红、表决、查账等股东权利行使记录。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证明长期以股东身份参与公司。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公司/当事人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按时间整理形成行为链。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17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代持款项、收益转付和指示文件。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证明实际出资人控制及收益归属。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银行/聊天/邮件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保存原始载体和完整上下文。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18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税务申报、完税凭证。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证明股权取得、转让或收益处理。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税务机关/当事人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与合同价格和实际付款核对。</w:t>
            </w:r>
          </w:p>
        </w:tc>
      </w:tr>
    </w:tbl>
    <w:p>
      <w:pPr>
        <w:pStyle w:val="Heading2"/>
      </w:pPr>
      <w:r>
        <w:t>C. 股东会、董事会与控制权证据（19—28）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32"/>
        <w:gridCol w:w="2532"/>
        <w:gridCol w:w="2532"/>
        <w:gridCol w:w="2532"/>
        <w:gridCol w:w="2532"/>
        <w:gridCol w:w="2532"/>
      </w:tblGrid>
      <w:tr>
        <w:trPr>
          <w:tblHeader w:val="true"/>
        </w:trPr>
        <w:tc>
          <w:tcPr>
            <w:tcW w:type="dxa" w:w="51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3912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证据名称/材料</w:t>
            </w:r>
          </w:p>
        </w:tc>
        <w:tc>
          <w:tcPr>
            <w:tcW w:type="dxa" w:w="3969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主要证明目的</w:t>
            </w:r>
          </w:p>
        </w:tc>
        <w:tc>
          <w:tcPr>
            <w:tcW w:type="dxa" w:w="226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来源/保管人</w:t>
            </w:r>
          </w:p>
        </w:tc>
        <w:tc>
          <w:tcPr>
            <w:tcW w:type="dxa" w:w="1984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状态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固定与补强建议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19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股东会、董事会通知及送达记录。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证明会议程序是否合法。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公司/邮件/快递/微信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保留发送主体、时间、内容和回执。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20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议案、签到、授权委托和表决票。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证明参会资格、议题和表决过程。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核验原件及签字真实性。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21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会议录音录像、线上会议记录。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证明实际讨论、异议和表决。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会议平台/设备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保存原始文件和平台导出记录。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22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股东会、董事会决议及会议记录。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证明公司意思形成及决议内容。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公司/工商档案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比较不同版本和提交登记版本。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23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董事、高管任免、授权和劳动合同。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证明经营管理权来源和范围。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形成任职时间线。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24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法定代表人变更文件和登记材料。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证明变更程序及争议节点。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公司/工商档案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核对签字、印章和提交时间。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25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印章使用、证照借阅和交接记录。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证明对外代表及关键载体控制。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及时拍照、盘点和书面催还。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26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银行账户、网银U盾和付款审批记录。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证明资金控制及异常支付。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银行/财务系统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合法调取银行回单和操作日志。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27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公司邮箱、ERP、财务和客户系统日志。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证明人员权限、操作和数据变化。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平台/公司IT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防止覆盖，必要时申请保全。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28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公章、账户、系统被抢夺或拒绝交接的报警、通知和现场记录。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证明紧急控制权争议及当事人行为。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公安/公司/当事人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依法取证，避免自行冲突升级。</w:t>
            </w:r>
          </w:p>
        </w:tc>
      </w:tr>
    </w:tbl>
    <w:p>
      <w:pPr>
        <w:pStyle w:val="Heading2"/>
      </w:pPr>
      <w:r>
        <w:t>D. 股权转让、增资与回购证据（29—38）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32"/>
        <w:gridCol w:w="2532"/>
        <w:gridCol w:w="2532"/>
        <w:gridCol w:w="2532"/>
        <w:gridCol w:w="2532"/>
        <w:gridCol w:w="2532"/>
      </w:tblGrid>
      <w:tr>
        <w:trPr>
          <w:tblHeader w:val="true"/>
        </w:trPr>
        <w:tc>
          <w:tcPr>
            <w:tcW w:type="dxa" w:w="51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3912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证据名称/材料</w:t>
            </w:r>
          </w:p>
        </w:tc>
        <w:tc>
          <w:tcPr>
            <w:tcW w:type="dxa" w:w="3969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主要证明目的</w:t>
            </w:r>
          </w:p>
        </w:tc>
        <w:tc>
          <w:tcPr>
            <w:tcW w:type="dxa" w:w="226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来源/保管人</w:t>
            </w:r>
          </w:p>
        </w:tc>
        <w:tc>
          <w:tcPr>
            <w:tcW w:type="dxa" w:w="1984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状态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固定与补强建议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29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股权转让、增资、回购或减资协议。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证明交易内容、价格、条件和责任。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当事人/公司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核验附件、补充协议和签署原件。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30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意向书、报价、谈判纪要和修改稿。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证明缔约过程、真实意思和争议条款。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当事人/中介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保留带时间戳的完整版本。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31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股东同意、优先购买通知和放弃文件。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证明转让程序和其他股东权利。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公司/股东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核验通知内容、送达和答复期限。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32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付款凭证、收据、资金来源及退回记录。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证明价款履行和违约。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银行/当事人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逐笔对应合同义务。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33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交割清单、资料移交和工商变更文件。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证明交易是否完成。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公司/登记机关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形成交割时间线。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34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估值报告、财务模型和定价依据。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证明价格形成和损失计算。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评估/财务顾问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核验基准日和假设。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35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回购触发事件及通知。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证明回购条件是否成就。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当事人/公司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逐项对应合同条款。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36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分期付款、担保、抵押和质押文件。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证明回款保障和执行线索。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当事人/登记机关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核验登记状态。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37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税费承担、申报和完税资料。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证明交易成本及履行。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税务机关/当事人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避免合同价与申报价冲突。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38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交易相对方资产线索。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证明保全和执行可行性。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公开登记/合法调查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在诉前评估可执行财产。</w:t>
            </w:r>
          </w:p>
        </w:tc>
      </w:tr>
    </w:tbl>
    <w:p>
      <w:pPr>
        <w:pStyle w:val="Heading2"/>
      </w:pPr>
      <w:r>
        <w:t>E. 财务、分红、关联交易与知情权证据（39—48）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32"/>
        <w:gridCol w:w="2532"/>
        <w:gridCol w:w="2532"/>
        <w:gridCol w:w="2532"/>
        <w:gridCol w:w="2532"/>
        <w:gridCol w:w="2532"/>
      </w:tblGrid>
      <w:tr>
        <w:trPr>
          <w:tblHeader w:val="true"/>
        </w:trPr>
        <w:tc>
          <w:tcPr>
            <w:tcW w:type="dxa" w:w="51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3912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证据名称/材料</w:t>
            </w:r>
          </w:p>
        </w:tc>
        <w:tc>
          <w:tcPr>
            <w:tcW w:type="dxa" w:w="3969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主要证明目的</w:t>
            </w:r>
          </w:p>
        </w:tc>
        <w:tc>
          <w:tcPr>
            <w:tcW w:type="dxa" w:w="226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来源/保管人</w:t>
            </w:r>
          </w:p>
        </w:tc>
        <w:tc>
          <w:tcPr>
            <w:tcW w:type="dxa" w:w="1984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状态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固定与补强建议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39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年度财务报表、审计报告和纳税申报。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证明利润、资产负债和经营情况。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公司/税务/审计机构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比较不同版本及异常变化。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40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会计账簿、凭证、发票和银行流水。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证明具体交易、资金流向和利润真实性。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公司/银行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建立合同—发票—付款—记账链条。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41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利润分配方案、股东会决议和分红支付。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证明分红条件、决策及差别待遇。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公司/银行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核对可分配利润和实际付款。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42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股东借款、资金占用及往来科目。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证明股东或关联方占用公司资金。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财务/银行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逐笔核对用途、审批和归还。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43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关联交易合同、定价和审批文件。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证明利益转移或交易合理性。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公司/关联方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关注无合同、低价、高价或无对价交易。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44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公司主要客户、供应商及收款账户资料。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证明业务转移或体外循环。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公司/合同/银行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依法固定，不得侵犯第三方权益。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45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知情权申请、公司回复及送达证据。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证明股东依法提出查阅请求和公司态度。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当事人/公司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申请内容应具体并保留送达。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46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查阅现场记录、拒绝理由和限制措施。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证明公司是否实际配合。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当事人/公证/律师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必要时依法公证或申请法院调查。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47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财务系统操作日志和数据备份。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证明账目变更、删除或导出情况。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公司IT/平台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保持完整性和可验证性。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48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损失计算表及基础数据。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证明损失金额、因果关系和计算方法。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当事人/财务顾问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区分直接损失、可得利益和其他请求。</w:t>
            </w:r>
          </w:p>
        </w:tc>
      </w:tr>
    </w:tbl>
    <w:p>
      <w:pPr>
        <w:pStyle w:val="Heading2"/>
      </w:pPr>
      <w:r>
        <w:t>F. 合伙贡献、离职、竞业与损害公司利益证据（49—58）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32"/>
        <w:gridCol w:w="2532"/>
        <w:gridCol w:w="2532"/>
        <w:gridCol w:w="2532"/>
        <w:gridCol w:w="2532"/>
        <w:gridCol w:w="2532"/>
      </w:tblGrid>
      <w:tr>
        <w:trPr>
          <w:tblHeader w:val="true"/>
        </w:trPr>
        <w:tc>
          <w:tcPr>
            <w:tcW w:type="dxa" w:w="51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3912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证据名称/材料</w:t>
            </w:r>
          </w:p>
        </w:tc>
        <w:tc>
          <w:tcPr>
            <w:tcW w:type="dxa" w:w="3969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主要证明目的</w:t>
            </w:r>
          </w:p>
        </w:tc>
        <w:tc>
          <w:tcPr>
            <w:tcW w:type="dxa" w:w="226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来源/保管人</w:t>
            </w:r>
          </w:p>
        </w:tc>
        <w:tc>
          <w:tcPr>
            <w:tcW w:type="dxa" w:w="1984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状态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固定与补强建议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49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合伙人协议、岗位职责和年度目标。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证明持续贡献义务和评价标准。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公司/当事人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核验生效、修改和实际执行。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50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考核、业绩、客户、项目和交付记录。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证明是否完成约定贡献。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业务系统/客户/公司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使用客观数据并注意客户信息合规。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51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工资、奖金、分红和项目收益支付记录。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证明各类收益性质和履行情况。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银行/财务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避免将劳动报酬与股东分红混同。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52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离职通知、解除文件和工作交接。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证明离职性质、时间和义务履行。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公司/员工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保留送达、签收和资产返还。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53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保密、竞业、知识产权和客户保护文件。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证明离职后义务及边界。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公司/当事人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核验补偿、期限和适用范围。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54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客户、团队或业务被转移的合同和沟通记录。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证明损害公司利益或违约行为。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客户/公司/电子数据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依法收集，注意商业秘密和个人信息。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55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同业公司工商、任职及经营资料。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证明竞业或利益冲突。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公开登记/合法调查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固定查询时间和页面来源。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56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公司损失、客户流失和替代成本数据。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证明损害结果及金额。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公司/财务/业务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建立行为—结果—损失因果链。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57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内部调查、催告、整改和纪律程序。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证明公司已给予说明或补救机会。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公司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程序应客观、公正并留痕。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58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和解、承诺、道歉或自认材料。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证明当事人对事实或责任的确认。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当事人/律师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保留完整上下文，避免断章取义。</w:t>
            </w:r>
          </w:p>
        </w:tc>
      </w:tr>
    </w:tbl>
    <w:p>
      <w:pPr>
        <w:pStyle w:val="Heading2"/>
      </w:pPr>
      <w:r>
        <w:t>G. 电子数据、保全与执行证据（59—66）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32"/>
        <w:gridCol w:w="2532"/>
        <w:gridCol w:w="2532"/>
        <w:gridCol w:w="2532"/>
        <w:gridCol w:w="2532"/>
        <w:gridCol w:w="2532"/>
      </w:tblGrid>
      <w:tr>
        <w:trPr>
          <w:tblHeader w:val="true"/>
        </w:trPr>
        <w:tc>
          <w:tcPr>
            <w:tcW w:type="dxa" w:w="51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3912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证据名称/材料</w:t>
            </w:r>
          </w:p>
        </w:tc>
        <w:tc>
          <w:tcPr>
            <w:tcW w:type="dxa" w:w="3969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主要证明目的</w:t>
            </w:r>
          </w:p>
        </w:tc>
        <w:tc>
          <w:tcPr>
            <w:tcW w:type="dxa" w:w="226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来源/保管人</w:t>
            </w:r>
          </w:p>
        </w:tc>
        <w:tc>
          <w:tcPr>
            <w:tcW w:type="dxa" w:w="1984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状态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固定与补强建议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59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微信、短信、邮件和群聊原始记录。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证明承诺、通知、协商、指示或自认。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手机/邮箱/平台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保留原始设备、账号、上下文和导出过程。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60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录音录像及原始载体。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证明会议、谈判和行为过程。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设备/平台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不得采用严重侵害合法权益的方式取证。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61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网页、网盘、电子签约和第三方平台记录。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证明发布、签署、交易和交付。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平台/公证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优先由中立平台导出或公证保全。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62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电子文件元数据、版本和哈希信息。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证明文件形成时间、修改和完整性。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设备/鉴定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不要只保留打印件或截图。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63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证据保全、公证或司法鉴定材料。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增强易灭失电子数据的证明力。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公证处/法院/鉴定机构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根据紧迫性选择合法程序。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64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对方财产线索及保全材料。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证明财产保全必要性和执行路径。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公开登记/合法调查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核实账户、股权、房产、应收款等。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65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生效裁判、执行文书和履行记录。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证明既有争议、义务和执行状态。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法院/当事人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核对生效和执行情况。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66</w:t>
            </w:r>
          </w:p>
        </w:tc>
        <w:tc>
          <w:tcPr>
            <w:tcW w:type="dxa" w:w="391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证据目录、证明目的和时间线。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形成完整案件叙事和举证体系。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律师/当事人</w:t>
            </w:r>
          </w:p>
        </w:tc>
        <w:tc>
          <w:tcPr>
            <w:tcW w:type="dxa" w:w="1984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□已取得 □待调取 □有缺口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每份证据明确证明什么、缺什么、如何补强。</w:t>
            </w:r>
          </w:p>
        </w:tc>
      </w:tr>
    </w:tbl>
    <w:p>
      <w:pPr>
        <w:pStyle w:val="Heading1"/>
      </w:pPr>
      <w:r>
        <w:t>六、结论与整改计划</w:t>
      </w:r>
    </w:p>
    <w:p>
      <w:pPr>
        <w:pStyle w:val="Heading2"/>
      </w:pPr>
      <w:r>
        <w:t>案件商业目标与最不能接受结果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pPr>
        <w:pStyle w:val="Heading2"/>
      </w:pPr>
      <w:r>
        <w:t>关键事实时间线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pPr>
        <w:pStyle w:val="Heading2"/>
      </w:pPr>
      <w:r>
        <w:t>最强五份证据及证明目的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pPr>
        <w:pStyle w:val="Heading2"/>
      </w:pPr>
      <w:r>
        <w:t>最需要补强或申请调取的证据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pPr>
        <w:pStyle w:val="Heading2"/>
      </w:pPr>
      <w:r>
        <w:t>证据保全、财产保全和执行计划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pPr>
        <w:pStyle w:val="Heading1"/>
      </w:pPr>
      <w:r>
        <w:t>七、使用边界与编制依据</w:t>
      </w:r>
    </w:p>
    <w:p>
      <w:r>
        <w:t>本工具用于企业内部自查、首次访谈和项目范围识别，不能替代针对具体企业的法律、财务、税务及交易判断。勾选“是”不当然表示不存在风险；勾选“否”也需要结合文件效力、形成过程和执行情况判断。</w:t>
      </w:r>
    </w:p>
    <w:p>
      <w:r>
        <w:t>编制口径主要参考现行《中华人民共和国公司法》、相关公司法司法解释和《最高人民法院关于民事诉讼证据的若干规定》，并结合企业股权架构、公司治理、股权激励、投融资与股东纠纷的实务场景。电子数据应尽量保留原始载体、账号、完整上下文、生成与提取过程；不得通过违法侵入系统、冒用身份、暴力抢夺或严重侵害他人合法权益的方式取证。</w:t>
      </w:r>
    </w:p>
    <w:p>
      <w:r>
        <w:t>专业提示：股权方案应当做到股东能够理解、企业能够执行、未来能够调整、发生问题时能够处理。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850" w:right="822" w:bottom="765" w:left="822" w:header="340" w:footer="34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Noto Sans CJK SC" w:hAnsi="Noto Sans CJK SC" w:eastAsia="Noto Sans CJK SC"/>
        <w:color w:val="666666"/>
        <w:sz w:val="15"/>
      </w:rPr>
      <w:t>仅供企业自查与项目沟通使用，不构成针对具体事项的正式法律意见。</w:t>
    </w:r>
  </w:p>
  <w:p>
    <w:pPr>
      <w:jc w:val="right"/>
    </w:pPr>
    <w:r>
      <w:rPr>
        <w:rFonts w:ascii="Noto Sans CJK SC" w:hAnsi="Noto Sans CJK SC" w:eastAsia="Noto Sans CJK SC"/>
        <w:color w:val="666666"/>
        <w:sz w:val="16"/>
      </w:rPr>
      <w:t xml:space="preserve">第 </w:t>
      <w:fldChar w:fldCharType="begin"/>
      <w:instrText xml:space="preserve">PAGE</w:instrText>
      <w:fldChar w:fldCharType="end"/>
    </w:r>
    <w:r>
      <w:rPr>
        <w:rFonts w:ascii="Noto Sans CJK SC" w:hAnsi="Noto Sans CJK SC" w:eastAsia="Noto Sans CJK SC"/>
        <w:color w:val="666666"/>
        <w:sz w:val="16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Noto Sans CJK SC" w:hAnsi="Noto Sans CJK SC" w:eastAsia="Noto Sans CJK SC"/>
        <w:color w:val="666666"/>
        <w:sz w:val="16"/>
      </w:rPr>
      <w:t>陈辉律师·企业股权治理    |    公众号：陈律聊股权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80"/>
    </w:pPr>
    <w:rPr>
      <w:rFonts w:ascii="Noto Sans CJK SC" w:hAnsi="Noto Sans CJK SC" w:eastAsia="Noto Sans CJK S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7324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F5D7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7324D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Noto Sans CJK SC" w:hAnsi="Noto Sans CJK SC" w:eastAsia="Noto Sans CJK SC"/>
      <w:b/>
      <w:color w:val="17324D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 xmlns:ns1="http://schemas.openxmlformats.org/officeDocument/2006/docPropsVTypes">
  <ns0:Template/>
  <ns0:TotalTime>0</ns0:TotalTime>
  <ns0:Pages>1</ns0:Pages>
  <ns0:Words>0</ns0:Words>
  <ns0:Characters>0</ns0:Characters>
  <ns0:Application>Microsoft Macintosh Word</ns0:Application>
  <ns0:DocSecurity>0</ns0:DocSecurity>
  <ns0:Lines>0</ns0:Lines>
  <ns0:Paragraphs>0</ns0:Paragraphs>
  <ns0:ScaleCrop>false</ns0:ScaleCrop>
  <ns0:HeadingPairs>
    <ns1:vector size="2" baseType="variant">
      <ns1:variant>
        <ns1:lpstr>Title</ns1:lpstr>
      </ns1:variant>
      <ns1:variant>
        <ns1:i4>1</ns1:i4>
      </ns1:variant>
    </ns1:vector>
  </ns0:HeadingPairs>
  <ns0:TitlesOfParts>
    <ns1:vector size="1" baseType="lpstr">
      <ns1:lpstr/>
    </ns1:vector>
  </ns0:TitlesOfParts>
  <ns0:Manager/>
  <ns0:Company/>
  <ns0:LinksUpToDate>false</ns0:LinksUpToDate>
  <ns0:CharactersWithSpaces>0</ns0:CharactersWithSpaces>
  <ns0:SharedDoc>false</ns0:SharedDoc>
  <ns0:HyperlinkBase/>
  <ns0:HyperlinksChanged>false</ns0:HyperlinksChanged>
  <ns0:AppVersion>14.0000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股权治理实务法律工具箱</dc:subject>
  <dc:creator>陈辉律师</dc:creator>
  <cp:keywords>股权治理,公司治理,法律工具</cp:keywords>
  <dc:description/>
  <cp:lastModifiedBy/>
  <cp:revision>1</cp:revision>
  <dcterms:created xsi:type="dcterms:W3CDTF">2013-12-23T23:15:00Z</dcterms:created>
  <dcterms:modified xsi:type="dcterms:W3CDTF">2013-12-23T23:15:00Z</dcterms:modified>
  <cp:category>股权治理法律工具</cp:category>
  <cp:contentStatus>公开工具</cp:contentStatus>
  <dc:identifier/>
  <dc:language>zh-CN</dc:language>
</cp:coreProperties>
</file>