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Noto Sans CJK SC" w:hAnsi="Noto Sans CJK SC" w:eastAsia="Noto Sans CJK SC"/>
          <w:b/>
          <w:color w:val="17365D"/>
          <w:sz w:val="44"/>
        </w:rPr>
        <w:t>股权并购与重组基础工具箱</w:t>
      </w:r>
    </w:p>
    <w:p>
      <w:pPr>
        <w:spacing w:after="200"/>
        <w:jc w:val="center"/>
      </w:pPr>
      <w:r>
        <w:rPr>
          <w:rFonts w:ascii="Noto Sans CJK SC" w:hAnsi="Noto Sans CJK SC" w:eastAsia="Noto Sans CJK SC"/>
          <w:b w:val="0"/>
          <w:color w:val="2F75B5"/>
          <w:sz w:val="21"/>
        </w:rPr>
        <w:t>老板3分钟自测版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fill="EEF5FB"/>
            <w:tcMar>
              <w:top w:w="100" w:type="dxa"/>
              <w:bottom w:w="100" w:type="dxa"/>
              <w:start w:w="130" w:type="dxa"/>
              <w:end w:w="13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17365D"/>
                <w:sz w:val="21"/>
              </w:rPr>
              <w:t>使用方法：</w:t>
            </w:r>
            <w:r>
              <w:rPr>
                <w:rFonts w:ascii="Noto Sans CJK SC" w:hAnsi="Noto Sans CJK SC" w:eastAsia="Noto Sans CJK SC"/>
                <w:b w:val="0"/>
                <w:color w:val="222222"/>
                <w:sz w:val="21"/>
              </w:rPr>
              <w:t>请老板或项目负责人根据企业真实情况勾选。一般3—5分钟即可完成。</w:t>
            </w:r>
          </w:p>
        </w:tc>
      </w:tr>
    </w:tbl>
    <w:p>
      <w:pPr>
        <w:pStyle w:val="Heading1"/>
      </w:pPr>
      <w:r>
        <w:rPr>
          <w:rFonts w:ascii="Noto Sans CJK SC" w:hAnsi="Noto Sans CJK SC" w:eastAsia="Noto Sans CJK SC"/>
        </w:rPr>
        <w:t>一、基本信息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2381"/>
            <w:shd w:fill="D9EAF7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17365D"/>
                <w:sz w:val="21"/>
              </w:rPr>
              <w:t>企业/项目名称</w:t>
            </w:r>
          </w:p>
        </w:tc>
        <w:tc>
          <w:tcPr>
            <w:tcW w:type="dxa" w:w="6690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22222"/>
                <w:sz w:val="21"/>
              </w:rPr>
            </w:r>
          </w:p>
        </w:tc>
      </w:tr>
      <w:tr>
        <w:tc>
          <w:tcPr>
            <w:tcW w:type="dxa" w:w="2381"/>
            <w:shd w:fill="D9EAF7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17365D"/>
                <w:sz w:val="21"/>
              </w:rPr>
              <w:t>拟交易对象</w:t>
            </w:r>
          </w:p>
        </w:tc>
        <w:tc>
          <w:tcPr>
            <w:tcW w:type="dxa" w:w="6690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22222"/>
                <w:sz w:val="21"/>
              </w:rPr>
            </w:r>
          </w:p>
        </w:tc>
      </w:tr>
      <w:tr>
        <w:tc>
          <w:tcPr>
            <w:tcW w:type="dxa" w:w="2381"/>
            <w:shd w:fill="D9EAF7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17365D"/>
                <w:sz w:val="21"/>
              </w:rPr>
              <w:t>交易目的</w:t>
            </w:r>
          </w:p>
        </w:tc>
        <w:tc>
          <w:tcPr>
            <w:tcW w:type="dxa" w:w="6690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22222"/>
                <w:sz w:val="21"/>
              </w:rPr>
              <w:t>□ 买控制权  □ 买业务/资产  □ 引入投资人  □ 合并重组  □ 其他</w:t>
            </w:r>
          </w:p>
        </w:tc>
      </w:tr>
      <w:tr>
        <w:tc>
          <w:tcPr>
            <w:tcW w:type="dxa" w:w="2381"/>
            <w:shd w:fill="D9EAF7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17365D"/>
                <w:sz w:val="21"/>
              </w:rPr>
              <w:t>预计交易金额</w:t>
            </w:r>
          </w:p>
        </w:tc>
        <w:tc>
          <w:tcPr>
            <w:tcW w:type="dxa" w:w="6690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22222"/>
                <w:sz w:val="21"/>
              </w:rPr>
            </w:r>
          </w:p>
        </w:tc>
      </w:tr>
    </w:tbl>
    <w:p>
      <w:pPr>
        <w:pStyle w:val="Heading1"/>
      </w:pPr>
      <w:r>
        <w:rPr>
          <w:rFonts w:ascii="Noto Sans CJK SC" w:hAnsi="Noto Sans CJK SC" w:eastAsia="Noto Sans CJK SC"/>
        </w:rPr>
        <w:t>二、核心自测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623"/>
            <w:shd w:fill="17365D"/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6350"/>
            <w:shd w:fill="17365D"/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核心问题</w:t>
            </w:r>
          </w:p>
        </w:tc>
        <w:tc>
          <w:tcPr>
            <w:tcW w:type="dxa" w:w="963"/>
            <w:shd w:fill="17365D"/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是</w:t>
            </w:r>
          </w:p>
        </w:tc>
        <w:tc>
          <w:tcPr>
            <w:tcW w:type="dxa" w:w="1134"/>
            <w:shd w:fill="17365D"/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否/不清楚</w:t>
            </w:r>
          </w:p>
        </w:tc>
      </w:tr>
      <w:tr>
        <w:tc>
          <w:tcPr>
            <w:tcW w:type="dxa" w:w="62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1</w:t>
            </w:r>
          </w:p>
        </w:tc>
        <w:tc>
          <w:tcPr>
            <w:tcW w:type="dxa" w:w="6350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我们已经说清楚：这次交易到底要买什么、为什么要买。</w:t>
            </w:r>
          </w:p>
        </w:tc>
        <w:tc>
          <w:tcPr>
            <w:tcW w:type="dxa" w:w="96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  <w:tc>
          <w:tcPr>
            <w:tcW w:type="dxa" w:w="1134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</w:tr>
      <w:tr>
        <w:tc>
          <w:tcPr>
            <w:tcW w:type="dxa" w:w="62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2</w:t>
            </w:r>
          </w:p>
        </w:tc>
        <w:tc>
          <w:tcPr>
            <w:tcW w:type="dxa" w:w="6350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目标公司的股权、资产和核心知识产权归属基本清楚。</w:t>
            </w:r>
          </w:p>
        </w:tc>
        <w:tc>
          <w:tcPr>
            <w:tcW w:type="dxa" w:w="96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  <w:tc>
          <w:tcPr>
            <w:tcW w:type="dxa" w:w="1134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</w:tr>
      <w:tr>
        <w:tc>
          <w:tcPr>
            <w:tcW w:type="dxa" w:w="62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3</w:t>
            </w:r>
          </w:p>
        </w:tc>
        <w:tc>
          <w:tcPr>
            <w:tcW w:type="dxa" w:w="6350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目标公司不存在我们尚未掌握的重大债务、担保或诉讼。</w:t>
            </w:r>
          </w:p>
        </w:tc>
        <w:tc>
          <w:tcPr>
            <w:tcW w:type="dxa" w:w="96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  <w:tc>
          <w:tcPr>
            <w:tcW w:type="dxa" w:w="1134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</w:tr>
      <w:tr>
        <w:tc>
          <w:tcPr>
            <w:tcW w:type="dxa" w:w="62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4</w:t>
            </w:r>
          </w:p>
        </w:tc>
        <w:tc>
          <w:tcPr>
            <w:tcW w:type="dxa" w:w="6350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交易完成后，我们能够控制董事会、印章、账户和经营决策。</w:t>
            </w:r>
          </w:p>
        </w:tc>
        <w:tc>
          <w:tcPr>
            <w:tcW w:type="dxa" w:w="96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  <w:tc>
          <w:tcPr>
            <w:tcW w:type="dxa" w:w="1134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</w:tr>
      <w:tr>
        <w:tc>
          <w:tcPr>
            <w:tcW w:type="dxa" w:w="62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5</w:t>
            </w:r>
          </w:p>
        </w:tc>
        <w:tc>
          <w:tcPr>
            <w:tcW w:type="dxa" w:w="6350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核心客户、核心团队和经营资质在交易后能够继续保留。</w:t>
            </w:r>
          </w:p>
        </w:tc>
        <w:tc>
          <w:tcPr>
            <w:tcW w:type="dxa" w:w="96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  <w:tc>
          <w:tcPr>
            <w:tcW w:type="dxa" w:w="1134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</w:tr>
      <w:tr>
        <w:tc>
          <w:tcPr>
            <w:tcW w:type="dxa" w:w="62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6</w:t>
            </w:r>
          </w:p>
        </w:tc>
        <w:tc>
          <w:tcPr>
            <w:tcW w:type="dxa" w:w="6350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交易价格有明确依据，并预留了尾款、保证金或其他风险保障。</w:t>
            </w:r>
          </w:p>
        </w:tc>
        <w:tc>
          <w:tcPr>
            <w:tcW w:type="dxa" w:w="96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  <w:tc>
          <w:tcPr>
            <w:tcW w:type="dxa" w:w="1134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</w:tr>
      <w:tr>
        <w:tc>
          <w:tcPr>
            <w:tcW w:type="dxa" w:w="62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7</w:t>
            </w:r>
          </w:p>
        </w:tc>
        <w:tc>
          <w:tcPr>
            <w:tcW w:type="dxa" w:w="6350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双方已初步约定：交易失败、业绩不达标或发现历史问题时怎么办。</w:t>
            </w:r>
          </w:p>
        </w:tc>
        <w:tc>
          <w:tcPr>
            <w:tcW w:type="dxa" w:w="96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  <w:tc>
          <w:tcPr>
            <w:tcW w:type="dxa" w:w="1134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</w:tr>
      <w:tr>
        <w:tc>
          <w:tcPr>
            <w:tcW w:type="dxa" w:w="62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8</w:t>
            </w:r>
          </w:p>
        </w:tc>
        <w:tc>
          <w:tcPr>
            <w:tcW w:type="dxa" w:w="6350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我们已经安排法律、财务和业务人员进行必要的尽职调查。</w:t>
            </w:r>
          </w:p>
        </w:tc>
        <w:tc>
          <w:tcPr>
            <w:tcW w:type="dxa" w:w="963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  <w:tc>
          <w:tcPr>
            <w:tcW w:type="dxa" w:w="1134"/>
            <w:tcMar>
              <w:top w:w="65" w:type="dxa"/>
              <w:bottom w:w="65" w:type="dxa"/>
              <w:start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□</w:t>
            </w:r>
          </w:p>
        </w:tc>
      </w:tr>
    </w:tbl>
    <w:p>
      <w:pPr>
        <w:pStyle w:val="Heading1"/>
        <w:pageBreakBefore/>
      </w:pPr>
      <w:r>
        <w:rPr>
          <w:rFonts w:ascii="Noto Sans CJK SC" w:hAnsi="Noto Sans CJK SC" w:eastAsia="Noto Sans CJK SC"/>
        </w:rPr>
        <w:t>三、结果判断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1814"/>
            <w:shd w:fill="17365D"/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“否/不清楚”数量</w:t>
            </w:r>
          </w:p>
        </w:tc>
        <w:tc>
          <w:tcPr>
            <w:tcW w:type="dxa" w:w="2381"/>
            <w:shd w:fill="17365D"/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初步判断</w:t>
            </w:r>
          </w:p>
        </w:tc>
        <w:tc>
          <w:tcPr>
            <w:tcW w:type="dxa" w:w="4309"/>
            <w:shd w:fill="17365D"/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建议</w:t>
            </w:r>
          </w:p>
        </w:tc>
      </w:tr>
      <w:tr>
        <w:tc>
          <w:tcPr>
            <w:tcW w:type="dxa" w:w="1814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0—1项</w:t>
            </w:r>
          </w:p>
        </w:tc>
        <w:tc>
          <w:tcPr>
            <w:tcW w:type="dxa" w:w="2381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基础较好</w:t>
            </w:r>
          </w:p>
        </w:tc>
        <w:tc>
          <w:tcPr>
            <w:tcW w:type="dxa" w:w="4309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可以进入交易结构和核心条款设计。</w:t>
            </w:r>
          </w:p>
        </w:tc>
      </w:tr>
      <w:tr>
        <w:tc>
          <w:tcPr>
            <w:tcW w:type="dxa" w:w="1814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2—3项</w:t>
            </w:r>
          </w:p>
        </w:tc>
        <w:tc>
          <w:tcPr>
            <w:tcW w:type="dxa" w:w="2381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存在明显风险</w:t>
            </w:r>
          </w:p>
        </w:tc>
        <w:tc>
          <w:tcPr>
            <w:tcW w:type="dxa" w:w="4309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先补充资料和尽调，再决定是否签署正式协议。</w:t>
            </w:r>
          </w:p>
        </w:tc>
      </w:tr>
      <w:tr>
        <w:tc>
          <w:tcPr>
            <w:tcW w:type="dxa" w:w="1814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4项以上</w:t>
            </w:r>
          </w:p>
        </w:tc>
        <w:tc>
          <w:tcPr>
            <w:tcW w:type="dxa" w:w="2381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不宜仓促推进</w:t>
            </w:r>
          </w:p>
        </w:tc>
        <w:tc>
          <w:tcPr>
            <w:tcW w:type="dxa" w:w="4309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建议先做专项并购诊断，避免买到历史风险或失去控制。</w:t>
            </w:r>
          </w:p>
        </w:tc>
      </w:tr>
    </w:tbl>
    <w:p>
      <w:pPr>
        <w:pStyle w:val="Heading1"/>
      </w:pPr>
      <w:r>
        <w:rPr>
          <w:rFonts w:ascii="Noto Sans CJK SC" w:hAnsi="Noto Sans CJK SC" w:eastAsia="Noto Sans CJK SC"/>
        </w:rPr>
        <w:t>四、老板下一步只做三件事</w:t>
      </w:r>
    </w:p>
    <w:p>
      <w:r>
        <w:rPr>
          <w:rFonts w:ascii="Noto Sans CJK SC" w:hAnsi="Noto Sans CJK SC" w:eastAsia="Noto Sans CJK SC"/>
          <w:b/>
          <w:color w:val="2F75B5"/>
          <w:sz w:val="21"/>
        </w:rPr>
        <w:t xml:space="preserve">1. </w:t>
      </w:r>
      <w:r>
        <w:rPr>
          <w:rFonts w:ascii="Noto Sans CJK SC" w:hAnsi="Noto Sans CJK SC" w:eastAsia="Noto Sans CJK SC"/>
          <w:b w:val="0"/>
          <w:color w:val="222222"/>
          <w:sz w:val="21"/>
        </w:rPr>
        <w:t>把交易目的、交易范围和不能接受的底线写成一页纸。</w:t>
      </w:r>
    </w:p>
    <w:p>
      <w:r>
        <w:rPr>
          <w:rFonts w:ascii="Noto Sans CJK SC" w:hAnsi="Noto Sans CJK SC" w:eastAsia="Noto Sans CJK SC"/>
          <w:b/>
          <w:color w:val="2F75B5"/>
          <w:sz w:val="21"/>
        </w:rPr>
        <w:t xml:space="preserve">2. </w:t>
      </w:r>
      <w:r>
        <w:rPr>
          <w:rFonts w:ascii="Noto Sans CJK SC" w:hAnsi="Noto Sans CJK SC" w:eastAsia="Noto Sans CJK SC"/>
          <w:b w:val="0"/>
          <w:color w:val="222222"/>
          <w:sz w:val="21"/>
        </w:rPr>
        <w:t>先查清股权、债务、资质、核心合同和核心团队五类问题。</w:t>
      </w:r>
    </w:p>
    <w:p>
      <w:r>
        <w:rPr>
          <w:rFonts w:ascii="Noto Sans CJK SC" w:hAnsi="Noto Sans CJK SC" w:eastAsia="Noto Sans CJK SC"/>
          <w:b/>
          <w:color w:val="2F75B5"/>
          <w:sz w:val="21"/>
        </w:rPr>
        <w:t xml:space="preserve">3. </w:t>
      </w:r>
      <w:r>
        <w:rPr>
          <w:rFonts w:ascii="Noto Sans CJK SC" w:hAnsi="Noto Sans CJK SC" w:eastAsia="Noto Sans CJK SC"/>
          <w:b w:val="0"/>
          <w:color w:val="222222"/>
          <w:sz w:val="21"/>
        </w:rPr>
        <w:t>在正式付款前，把交割条件、赔偿责任和退出机制写进协议。</w:t>
      </w:r>
    </w:p>
    <w:p>
      <w:pPr>
        <w:pStyle w:val="Heading1"/>
      </w:pPr>
      <w:r>
        <w:rPr>
          <w:rFonts w:ascii="Noto Sans CJK SC" w:hAnsi="Noto Sans CJK SC" w:eastAsia="Noto Sans CJK SC"/>
        </w:rPr>
        <w:t>五、初步结论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2381"/>
            <w:shd w:fill="D9EAF7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17365D"/>
                <w:sz w:val="21"/>
              </w:rPr>
              <w:t>当前判断</w:t>
            </w:r>
          </w:p>
        </w:tc>
        <w:tc>
          <w:tcPr>
            <w:tcW w:type="dxa" w:w="6690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22222"/>
                <w:sz w:val="21"/>
              </w:rPr>
              <w:t>□ 暂不需要专项服务  □ 建议补充资料后复评  □ 建议开展专项诊断</w:t>
            </w:r>
          </w:p>
        </w:tc>
      </w:tr>
      <w:tr>
        <w:tc>
          <w:tcPr>
            <w:tcW w:type="dxa" w:w="2381"/>
            <w:shd w:fill="D9EAF7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17365D"/>
                <w:sz w:val="21"/>
              </w:rPr>
              <w:t>最需要解决的问题</w:t>
            </w:r>
          </w:p>
        </w:tc>
        <w:tc>
          <w:tcPr>
            <w:tcW w:type="dxa" w:w="6690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22222"/>
                <w:sz w:val="21"/>
              </w:rPr>
              <w:t>____________________________________________________________</w:t>
            </w:r>
          </w:p>
        </w:tc>
      </w:tr>
      <w:tr>
        <w:tc>
          <w:tcPr>
            <w:tcW w:type="dxa" w:w="2381"/>
            <w:shd w:fill="D9EAF7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/>
                <w:color w:val="17365D"/>
                <w:sz w:val="21"/>
              </w:rPr>
              <w:t>联系人及电话</w:t>
            </w:r>
          </w:p>
        </w:tc>
        <w:tc>
          <w:tcPr>
            <w:tcW w:type="dxa" w:w="6690"/>
            <w:tcMar>
              <w:top w:w="80" w:type="dxa"/>
              <w:bottom w:w="80" w:type="dxa"/>
              <w:start w:w="90" w:type="dxa"/>
              <w:end w:w="90" w:type="dxa"/>
            </w:tcMar>
          </w:tcPr>
          <w:p>
            <w:r>
              <w:rPr>
                <w:rFonts w:ascii="Noto Sans CJK SC" w:hAnsi="Noto Sans CJK SC" w:eastAsia="Noto Sans CJK SC"/>
                <w:b w:val="0"/>
                <w:color w:val="222222"/>
                <w:sz w:val="21"/>
              </w:rPr>
              <w:t>____________________________________________________________</w:t>
            </w:r>
          </w:p>
        </w:tc>
      </w:tr>
    </w:tbl>
    <w:p>
      <w:pPr>
        <w:spacing w:before="120"/>
      </w:pPr>
      <w:r>
        <w:rPr>
          <w:rFonts w:ascii="Noto Sans CJK SC" w:hAnsi="Noto Sans CJK SC" w:eastAsia="Noto Sans CJK SC"/>
          <w:b/>
          <w:color w:val="C00000"/>
          <w:sz w:val="17"/>
        </w:rPr>
        <w:t>提示：</w:t>
      </w:r>
      <w:r>
        <w:rPr>
          <w:rFonts w:ascii="Noto Sans CJK SC" w:hAnsi="Noto Sans CJK SC" w:eastAsia="Noto Sans CJK SC"/>
          <w:b w:val="0"/>
          <w:color w:val="666666"/>
          <w:sz w:val="17"/>
        </w:rPr>
        <w:t>本表用于帮助企业快速发现问题。涉及并购交易、长期陪跑或上市规划时，仍应结合企业资料进行专项判断。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65" w:right="850" w:bottom="709" w:left="850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SC" w:hAnsi="Noto Sans CJK SC" w:eastAsia="Noto Sans CJK SC"/>
        <w:b w:val="0"/>
        <w:color w:val="666666"/>
        <w:sz w:val="16"/>
      </w:rPr>
      <w:t>基础自测版｜用于初步判断，不替代专项法律意见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Noto Sans CJK SC" w:hAnsi="Noto Sans CJK SC" w:eastAsia="Noto Sans CJK SC"/>
        <w:b w:val="0"/>
        <w:color w:val="666666"/>
        <w:sz w:val="16"/>
      </w:rPr>
      <w:t>陈辉律师｜企业股权与资本法律服务工具箱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Noto Sans CJK SC" w:hAnsi="Noto Sans CJK SC" w:eastAsia="Noto Sans CJK SC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Noto Sans CJK SC" w:hAnsi="Noto Sans CJK SC" w:eastAsia="Noto Sans CJK SC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Noto Sans CJK SC" w:hAnsi="Noto Sans CJK SC" w:eastAsia="Noto Sans CJK SC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Noto Sans CJK SC" w:hAnsi="Noto Sans CJK SC" w:eastAsia="Noto Sans CJK SC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Noto Sans CJK SC" w:hAnsi="Noto Sans CJK SC" w:eastAsia="Noto Sans CJK SC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100"/>
      <w:outlineLvl w:val="0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100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2F75B5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Noto Sans CJK SC" w:hAnsi="Noto Sans CJK SC" w:eastAsia="Noto Sans CJK SC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Noto Sans CJK SC" w:hAnsi="Noto Sans CJK SC" w:eastAsia="Noto Sans CJK SC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Noto Sans CJK SC" w:hAnsi="Noto Sans CJK SC" w:eastAsia="Noto Sans CJK SC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Noto Sans CJK SC" w:hAnsi="Noto Sans CJK SC" w:eastAsia="Noto Sans CJK SC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Noto Sans CJK SC" w:hAnsi="Noto Sans CJK SC" w:eastAsia="Noto Sans CJK SC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Noto Sans CJK SC" w:hAnsi="Noto Sans CJK SC" w:eastAsia="Noto Sans CJK SC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Noto Sans CJK SC" w:hAnsi="Noto Sans CJK SC" w:eastAsia="Noto Sans CJK SC"/>
    </w:rPr>
  </w:style>
  <w:style w:type="table" w:default="1" w:styleId="TableNormal">
    <w:name w:val="Normal Table"/>
    <w:uiPriority w:val="99"/>
    <w:semiHidden/>
    <w:unhideWhenUsed/>
    <w:rPr>
      <w:rFonts w:ascii="Noto Sans CJK SC" w:hAnsi="Noto Sans CJK SC" w:eastAsia="Noto Sans CJK S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Noto Sans CJK SC" w:hAnsi="Noto Sans CJK SC" w:eastAsia="Noto Sans CJK SC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Noto Sans CJK SC" w:hAnsi="Noto Sans CJK SC" w:eastAsia="Noto Sans CJK SC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Noto Sans CJK SC" w:hAnsi="Noto Sans CJK SC" w:eastAsia="Noto Sans CJK SC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Noto Sans CJK SC" w:hAnsi="Noto Sans CJK SC" w:eastAsia="Noto Sans CJK SC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140"/>
      <w:contextualSpacing/>
    </w:pPr>
    <w:rPr>
      <w:rFonts w:asciiTheme="majorHAnsi" w:eastAsiaTheme="majorEastAsia" w:hAnsiTheme="majorHAnsi" w:cstheme="majorBidi" w:ascii="Noto Sans CJK SC" w:hAnsi="Noto Sans CJK SC" w:eastAsia="Noto Sans CJK SC"/>
      <w:b/>
      <w:color w:val="17365D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Noto Sans CJK SC" w:hAnsi="Noto Sans CJK SC" w:eastAsia="Noto Sans CJK SC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Noto Sans CJK SC" w:hAnsi="Noto Sans CJK SC" w:eastAsia="Noto Sans CJK SC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Noto Sans CJK SC" w:hAnsi="Noto Sans CJK SC" w:eastAsia="Noto Sans CJK SC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Noto Sans CJK SC" w:hAnsi="Noto Sans CJK SC" w:eastAsia="Noto Sans CJK SC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Noto Sans CJK SC" w:hAnsi="Noto Sans CJK SC" w:eastAsia="Noto Sans CJK SC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Noto Sans CJK SC" w:hAnsi="Noto Sans CJK SC" w:eastAsia="Noto Sans CJK SC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Noto Sans CJK SC" w:hAnsi="Noto Sans CJK SC" w:eastAsia="Noto Sans CJK SC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Noto Sans CJK SC" w:hAnsi="Noto Sans CJK SC" w:eastAsia="Noto Sans CJK SC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Noto Sans CJK SC" w:hAnsi="Noto Sans CJK SC" w:eastAsia="Noto Sans CJK SC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Noto Sans CJK SC" w:hAnsi="Noto Sans CJK SC" w:eastAsia="Noto Sans CJK SC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Noto Sans CJK SC" w:hAnsi="Noto Sans CJK SC" w:eastAsia="Noto Sans CJK SC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Noto Sans CJK SC" w:hAnsi="Noto Sans CJK SC" w:eastAsia="Noto Sans CJK SC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Noto Sans CJK SC" w:hAnsi="Noto Sans CJK SC" w:eastAsia="Noto Sans CJK SC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Noto Sans CJK SC" w:hAnsi="Noto Sans CJK SC" w:eastAsia="Noto Sans CJK SC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Noto Sans CJK SC" w:hAnsi="Noto Sans CJK SC" w:eastAsia="Noto Sans CJK SC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Noto Sans CJK SC" w:hAnsi="Noto Sans CJK SC" w:eastAsia="Noto Sans CJK SC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Noto Sans CJK SC" w:hAnsi="Noto Sans CJK SC" w:eastAsia="Noto Sans CJK SC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Noto Sans CJK SC" w:hAnsi="Noto Sans CJK SC" w:eastAsia="Noto Sans CJK SC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Noto Sans CJK SC" w:hAnsi="Noto Sans CJK SC" w:eastAsia="Noto Sans CJK SC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Noto Sans CJK SC" w:hAnsi="Noto Sans CJK SC" w:eastAsia="Noto Sans CJK SC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Noto Sans CJK SC" w:hAnsi="Noto Sans CJK SC" w:eastAsia="Noto Sans CJK SC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Noto Sans CJK SC" w:hAnsi="Noto Sans CJK SC" w:eastAsia="Noto Sans CJK SC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Noto Sans CJK SC" w:hAnsi="Noto Sans CJK SC" w:eastAsia="Noto Sans CJK SC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Noto Sans CJK SC" w:hAnsi="Noto Sans CJK SC" w:eastAsia="Noto Sans CJK SC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Noto Sans CJK SC" w:hAnsi="Noto Sans CJK SC" w:eastAsia="Noto Sans CJK SC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Noto Sans CJK SC" w:hAnsi="Noto Sans CJK SC" w:eastAsia="Noto Sans CJK SC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Noto Sans CJK SC" w:hAnsi="Noto Sans CJK SC" w:eastAsia="Noto Sans CJK SC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Noto Sans CJK SC" w:hAnsi="Noto Sans CJK SC" w:eastAsia="Noto Sans CJK SC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Noto Sans CJK SC" w:hAnsi="Noto Sans CJK SC" w:eastAsia="Noto Sans CJK SC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Noto Sans CJK SC" w:hAnsi="Noto Sans CJK SC" w:eastAsia="Noto Sans CJK SC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Noto Sans CJK SC" w:hAnsi="Noto Sans CJK SC" w:eastAsia="Noto Sans CJK SC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Noto Sans CJK SC" w:hAnsi="Noto Sans CJK SC" w:eastAsia="Noto Sans CJK SC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Noto Sans CJK SC" w:hAnsi="Noto Sans CJK SC" w:eastAsia="Noto Sans CJK SC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Noto Sans CJK SC" w:hAnsi="Noto Sans CJK SC" w:eastAsia="Noto Sans CJK SC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Noto Sans CJK SC" w:hAnsi="Noto Sans CJK SC" w:eastAsia="Noto Sans CJK SC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Noto Sans CJK SC" w:hAnsi="Noto Sans CJK SC" w:eastAsia="Noto Sans CJK SC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Noto Sans CJK SC" w:hAnsi="Noto Sans CJK SC" w:eastAsia="Noto Sans CJK SC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Noto Sans CJK SC" w:hAnsi="Noto Sans CJK SC" w:eastAsia="Noto Sans CJK SC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Noto Sans CJK SC" w:hAnsi="Noto Sans CJK SC" w:eastAsia="Noto Sans CJK SC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Noto Sans CJK SC" w:hAnsi="Noto Sans CJK SC" w:eastAsia="Noto Sans CJK SC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Noto Sans CJK SC" w:hAnsi="Noto Sans CJK SC" w:eastAsia="Noto Sans CJK SC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Noto Sans CJK SC" w:hAnsi="Noto Sans CJK SC" w:eastAsia="Noto Sans CJK SC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Noto Sans CJK SC" w:hAnsi="Noto Sans CJK SC" w:eastAsia="Noto Sans CJK SC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Noto Sans CJK SC" w:hAnsi="Noto Sans CJK SC" w:eastAsia="Noto Sans CJK S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Noto Sans CJK SC" w:hAnsi="Noto Sans CJK SC" w:eastAsia="Noto Sans CJK SC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Noto Sans CJK SC" w:hAnsi="Noto Sans CJK SC" w:eastAsia="Noto Sans CJK SC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Noto Sans CJK SC" w:hAnsi="Noto Sans CJK SC" w:eastAsia="Noto Sans CJK SC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Noto Sans CJK SC" w:hAnsi="Noto Sans CJK SC" w:eastAsia="Noto Sans CJK SC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Noto Sans CJK SC" w:hAnsi="Noto Sans CJK SC" w:eastAsia="Noto Sans CJK SC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Noto Sans CJK SC" w:hAnsi="Noto Sans CJK SC" w:eastAsia="Noto Sans CJK SC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Noto Sans CJK SC" w:hAnsi="Noto Sans CJK SC" w:eastAsia="Noto Sans CJK SC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Noto Sans CJK SC" w:hAnsi="Noto Sans CJK SC" w:eastAsia="Noto Sans CJK SC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Noto Sans CJK SC" w:hAnsi="Noto Sans CJK SC" w:eastAsia="Noto Sans CJK SC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Noto Sans CJK SC" w:hAnsi="Noto Sans CJK SC" w:eastAsia="Noto Sans CJK SC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Noto Sans CJK SC" w:hAnsi="Noto Sans CJK SC" w:eastAsia="Noto Sans CJK SC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Noto Sans CJK SC" w:hAnsi="Noto Sans CJK SC" w:eastAsia="Noto Sans CJK SC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Noto Sans CJK SC" w:hAnsi="Noto Sans CJK SC" w:eastAsia="Noto Sans CJK SC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Noto Sans CJK SC" w:hAnsi="Noto Sans CJK SC" w:eastAsia="Noto Sans CJK SC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Noto Sans CJK SC" w:hAnsi="Noto Sans CJK SC" w:eastAsia="Noto Sans CJK SC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Noto Sans CJK SC" w:hAnsi="Noto Sans CJK SC" w:eastAsia="Noto Sans CJK SC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ns0:Properties xmlns:ns0="http://schemas.openxmlformats.org/officeDocument/2006/extended-properties" xmlns:ns1="http://schemas.openxmlformats.org/officeDocument/2006/docPropsVTypes">
  <ns0:Template/>
  <ns0:TotalTime>0</ns0:TotalTime>
  <ns0:Pages>1</ns0:Pages>
  <ns0:Words>0</ns0:Words>
  <ns0:Characters>0</ns0:Characters>
  <ns0:Application>Microsoft Macintosh Word</ns0:Application>
  <ns0:DocSecurity>0</ns0:DocSecurity>
  <ns0:Lines>0</ns0:Lines>
  <ns0:Paragraphs>0</ns0:Paragraphs>
  <ns0:ScaleCrop>false</ns0:ScaleCrop>
  <ns0:HeadingPairs>
    <ns1:vector size="2" baseType="variant">
      <ns1:variant>
        <ns1:lpstr>Title</ns1:lpstr>
      </ns1:variant>
      <ns1:variant>
        <ns1:i4>1</ns1:i4>
      </ns1:variant>
    </ns1:vector>
  </ns0:HeadingPairs>
  <ns0:TitlesOfParts>
    <ns1:vector size="1" baseType="lpstr">
      <ns1:lpstr/>
    </ns1:vector>
  </ns0:TitlesOfParts>
  <ns0:Manager/>
  <ns0:Company/>
  <ns0:LinksUpToDate>false</ns0:LinksUpToDate>
  <ns0:CharactersWithSpaces>0</ns0:CharactersWithSpaces>
  <ns0:SharedDoc>false</ns0:SharedDoc>
  <ns0:HyperlinkBase/>
  <ns0:HyperlinksChanged>false</ns0:HyperlinksChanged>
  <ns0:AppVersion>14.0000</ns0:AppVersion>
</ns0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股权并购与重组基础工具箱（简明版）</dc:title>
  <dc:subject>股权治理实务法律工具箱</dc:subject>
  <dc:creator>陈辉律师</dc:creator>
  <cp:keywords>股权治理,公司治理,法律工具</cp:keywords>
  <dc:description/>
  <cp:lastModifiedBy/>
  <cp:revision>1</cp:revision>
  <dcterms:created xsi:type="dcterms:W3CDTF">2013-12-23T23:15:00Z</dcterms:created>
  <dcterms:modified xsi:type="dcterms:W3CDTF">2013-12-23T23:15:00Z</dcterms:modified>
  <cp:category>股权治理法律工具</cp:category>
  <cp:contentStatus>公开工具</cp:contentStatus>
  <dc:identifier/>
  <dc:language>zh-CN</dc:language>
</cp:coreProperties>
</file>