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50"/>
        <w:jc w:val="center"/>
      </w:pPr>
      <w:r>
        <w:rPr>
          <w:rFonts w:ascii="Noto Sans CJK SC" w:hAnsi="Noto Sans CJK SC" w:eastAsia="Noto Sans CJK SC"/>
          <w:b/>
          <w:color w:val="B28B4A"/>
          <w:sz w:val="26"/>
        </w:rPr>
        <w:t>陈辉律师股权法律工具箱</w:t>
      </w:r>
    </w:p>
    <w:p>
      <w:pPr>
        <w:spacing w:before="454"/>
        <w:jc w:val="center"/>
      </w:pPr>
      <w:r>
        <w:rPr>
          <w:rFonts w:ascii="Noto Sans CJK SC" w:hAnsi="Noto Sans CJK SC" w:eastAsia="Noto Sans CJK SC"/>
          <w:b/>
          <w:color w:val="17324D"/>
          <w:sz w:val="50"/>
        </w:rPr>
        <w:t>控制权风险体检表</w:t>
      </w:r>
    </w:p>
    <w:p>
      <w:pPr>
        <w:jc w:val="center"/>
      </w:pPr>
      <w:r>
        <w:rPr>
          <w:rFonts w:ascii="Noto Sans CJK SC" w:hAnsi="Noto Sans CJK SC" w:eastAsia="Noto Sans CJK SC"/>
          <w:color w:val="2F5D7C"/>
          <w:sz w:val="24"/>
        </w:rPr>
        <w:t>公司控制权五层模型：股权、表决、董事会、经营管理、经营载体</w:t>
      </w:r>
    </w:p>
    <w:p>
      <w:pPr>
        <w:spacing w:before="510"/>
        <w:jc w:val="center"/>
      </w:pPr>
      <w:r>
        <w:rPr>
          <w:rFonts w:ascii="Noto Sans CJK SC" w:hAnsi="Noto Sans CJK SC" w:eastAsia="Noto Sans CJK SC"/>
          <w:color w:val="666666"/>
          <w:sz w:val="18"/>
        </w:rPr>
        <w:t>工具编号：EQ-02    版本：2026年7月</w:t>
      </w:r>
    </w:p>
    <w:p>
      <w:pPr>
        <w:spacing w:before="567"/>
        <w:jc w:val="center"/>
      </w:pPr>
      <w:r>
        <w:rPr>
          <w:rFonts w:ascii="Noto Sans CJK SC" w:hAnsi="Noto Sans CJK SC" w:eastAsia="Noto Sans CJK SC"/>
          <w:color w:val="17324D"/>
          <w:sz w:val="20"/>
        </w:rPr>
        <w:t>企业名称：____________________________    填写人：____________    日期：____________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194"/>
      </w:tblGrid>
      <w:tr>
        <w:tc>
          <w:tcPr>
            <w:tcW w:type="dxa" w:w="12474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17324D"/>
                <w:sz w:val="19"/>
              </w:rPr>
              <w:t>使用提示：请以公司当前实际情况填写，不要按“希望达到的状态”作答。存在重大股东矛盾、融资交易或诉讼时，应结合章程、协议、工商档案、出资、财务及证据材料进行专项判断。</w:t>
            </w:r>
          </w:p>
        </w:tc>
      </w:tr>
    </w:tbl>
    <w:p>
      <w:r>
        <w:br w:type="page"/>
      </w:r>
    </w:p>
    <w:p>
      <w:pPr>
        <w:pStyle w:val="Heading1"/>
      </w:pPr>
      <w:r>
        <w:t>一、工具用途</w:t>
      </w:r>
    </w:p>
    <w:p>
      <w:r>
        <w:t>帮助创始人和企业负责人判断“持股最多是否真正能控制公司”，系统检查股东会、董事会、经营管理、财务信息、法定代表人以及印章账户等五套权力系统。</w:t>
      </w:r>
    </w:p>
    <w:p>
      <w:pPr>
        <w:pStyle w:val="Heading1"/>
      </w:pPr>
      <w:r>
        <w:t>二、填写方法</w:t>
      </w:r>
    </w:p>
    <w:p>
      <w:pPr>
        <w:ind w:left="113"/>
      </w:pPr>
      <w:r>
        <w:rPr>
          <w:rFonts w:ascii="Noto Sans CJK SC" w:hAnsi="Noto Sans CJK SC" w:eastAsia="Noto Sans CJK SC"/>
          <w:sz w:val="20"/>
        </w:rPr>
        <w:t>1. 逐项按当前实际执行情况选择“是、部分、否”。</w:t>
      </w:r>
    </w:p>
    <w:p>
      <w:pPr>
        <w:ind w:left="113"/>
      </w:pPr>
      <w:r>
        <w:rPr>
          <w:rFonts w:ascii="Noto Sans CJK SC" w:hAnsi="Noto Sans CJK SC" w:eastAsia="Noto Sans CJK SC"/>
          <w:sz w:val="20"/>
        </w:rPr>
        <w:t>2. “是”得4分，“部分”得2分，“否”得0分；满分100分。</w:t>
      </w:r>
    </w:p>
    <w:p>
      <w:pPr>
        <w:ind w:left="113"/>
      </w:pPr>
      <w:r>
        <w:rPr>
          <w:rFonts w:ascii="Noto Sans CJK SC" w:hAnsi="Noto Sans CJK SC" w:eastAsia="Noto Sans CJK SC"/>
          <w:sz w:val="20"/>
        </w:rPr>
        <w:t>3. 任何一项涉及公章、账户、法定代表人、董事会席位或投资人一票否决的高风险问题，都应单独列入整改。</w:t>
      </w:r>
    </w:p>
    <w:p>
      <w:pPr>
        <w:ind w:left="113"/>
      </w:pPr>
      <w:r>
        <w:rPr>
          <w:rFonts w:ascii="Noto Sans CJK SC" w:hAnsi="Noto Sans CJK SC" w:eastAsia="Noto Sans CJK SC"/>
          <w:sz w:val="20"/>
        </w:rPr>
        <w:t>4. 融资、股东矛盾、法定代表人变更或管理层调整前，应重新体检。</w:t>
      </w:r>
    </w:p>
    <w:p>
      <w:pPr>
        <w:pStyle w:val="Heading1"/>
      </w:pPr>
      <w:r>
        <w:t>三、评分与风险分级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5"/>
        <w:gridCol w:w="5065"/>
        <w:gridCol w:w="5065"/>
      </w:tblGrid>
      <w:tr>
        <w:trPr>
          <w:tblHeader w:val="true"/>
        </w:trPr>
        <w:tc>
          <w:tcPr>
            <w:tcW w:type="dxa" w:w="2551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分值/状态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风险等级</w:t>
            </w:r>
          </w:p>
        </w:tc>
        <w:tc>
          <w:tcPr>
            <w:tcW w:type="dxa" w:w="793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建议动作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80—100分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控制体系较稳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继续做融资稀释、股东联合和紧急情形压力测试。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60—79分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局部失衡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优先修订章程、董事会规则和授权管理制度。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40—59分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控制风险较高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实际控制可能依赖个人关系，建议开展专项控制权设计。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0—39分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控制权可能失效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应立即盘点印章、账户、董事席位、证据和应急措施。</w:t>
            </w:r>
          </w:p>
        </w:tc>
      </w:tr>
    </w:tbl>
    <w:p>
      <w:pPr>
        <w:pStyle w:val="Heading1"/>
      </w:pPr>
      <w:r>
        <w:t>四、企业基础信息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798"/>
        <w:gridCol w:w="3798"/>
        <w:gridCol w:w="3798"/>
        <w:gridCol w:w="3798"/>
      </w:tblGrid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企业名称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成立时间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主营业务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发展阶段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  <w:t>□设立期  □成长期  □融资期  □成熟期</w:t>
            </w:r>
          </w:p>
        </w:tc>
      </w:tr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股东人数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实际控制人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是否融资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  <w:t>□否  □筹备中  □已融资</w:t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是否存在纠纷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  <w:t>□否  □潜在分歧  □已发生</w:t>
            </w:r>
          </w:p>
        </w:tc>
      </w:tr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现有文件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  <w:t>□章程  □股东协议  □投资协议  □激励文件</w:t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本次重点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</w:tr>
    </w:tbl>
    <w:p>
      <w:pPr>
        <w:pStyle w:val="Heading1"/>
      </w:pPr>
      <w:r>
        <w:t>五、诊断清单</w:t>
      </w:r>
    </w:p>
    <w:p>
      <w:r>
        <w:t>评分规则：是=4分，部分=2分，否=0分。本表满分 100 分。</w:t>
      </w:r>
    </w:p>
    <w:p>
      <w:pPr>
        <w:pStyle w:val="Heading2"/>
      </w:pPr>
      <w:r>
        <w:t>1. 股权控制</w:t>
      </w:r>
    </w:p>
    <w:p>
      <w:pPr>
        <w:spacing w:after="60"/>
      </w:pPr>
      <w:r>
        <w:t>检查持股结构、间接持股、股东联合和融资稀释。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创始人或实际控制人的直接、间接持股及表决权来源已经绘图确认。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已分析其他股东可能联合、一致行动或表决权委托后的控制变化。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不存在长期代持、名义股东失控或持股平台GP安排不清。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已测算一轮和多轮融资后实际控制人的持股及表决权。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股权质押、冻结、离婚、继承或强制执行不会立即导致控制链断裂。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2. 股东会表决控制</w:t>
      </w:r>
    </w:p>
    <w:p>
      <w:pPr>
        <w:spacing w:after="60"/>
      </w:pPr>
      <w:r>
        <w:t>检查重大事项能否形成有效、稳定的股东会决议。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6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章程明确普通事项、重大事项和特别事项的表决门槛。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7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会议召集、通知、提案、线上参会、委托投票和决议签署程序清楚。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8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不存在过多事项要求全体一致或特定股东同意而导致经营停摆。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9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投资协议、股东协议与章程中的否决权和表决规则相互衔接。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10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股东僵局时有升级谈判、买卖机制、第三方评估或其他解决路径。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3. 董事会与高管控制</w:t>
      </w:r>
    </w:p>
    <w:p>
      <w:pPr>
        <w:spacing w:after="60"/>
      </w:pPr>
      <w:r>
        <w:t>检查股东会决议能否通过董事会和管理层被执行。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11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董事会人数、席位分配、提名权、任期和撤换程序明确。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12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董事长产生方式及其召集、主持和签署权限清楚。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13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董事会表决门槛、回避机制和僵局处理可执行。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14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总经理、财务负责人及核心高管的任免权和汇报关系明确。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15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董事会与总经理之间有书面授权清单，避免越权或无人负责。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4. 财务、信息与经营管理控制</w:t>
      </w:r>
    </w:p>
    <w:p>
      <w:pPr>
        <w:spacing w:after="60"/>
      </w:pPr>
      <w:r>
        <w:t>没有真实数据和授权体系，股权控制难以转化为经营控制。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16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预算、重大付款、投资、担保、关联交易和资产处置有审批权限表。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17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申请、审批、支付、记账和监督由不同岗位承担并留痕。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18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股东、董事和管理层定期取得经营、财务和现金流报告。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19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会计账簿、合同档案、客户数据和财务系统有访问及备份机制。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20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内部审计、异常交易报告和关联方占款处理机制明确。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5. 法定代表人及关键载体控制</w:t>
      </w:r>
    </w:p>
    <w:p>
      <w:pPr>
        <w:spacing w:after="60"/>
      </w:pPr>
      <w:r>
        <w:t>检查外部代表、印章账户和数字权限能否准确执行内部决策。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21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法定代表人的产生、授权、变更和拒不交接处理机制明确。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22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公章、合同章、财务章、营业执照和数字证书分级保管。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23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网银U盾、付款复核和银行账户变更需要双重或多重控制。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24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用印、证照借阅、合同签署和电子审批均有台账。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25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发生抢章、失联、拒绝交接或系统权限异常时有应急预案。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1"/>
      </w:pPr>
      <w:r>
        <w:t>六、诊断结果与整改优先级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5"/>
        <w:gridCol w:w="5065"/>
        <w:gridCol w:w="5065"/>
      </w:tblGrid>
      <w:tr>
        <w:tc>
          <w:tcPr>
            <w:tcW w:type="dxa" w:w="2551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总分区间</w:t>
            </w:r>
          </w:p>
        </w:tc>
        <w:tc>
          <w:tcPr>
            <w:tcW w:type="dxa" w:w="3402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诊断结论</w:t>
            </w:r>
          </w:p>
        </w:tc>
        <w:tc>
          <w:tcPr>
            <w:tcW w:type="dxa" w:w="793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建议动作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80—100分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控制体系较稳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年度复核，并在融资、并购和股东变化时重新模拟。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60—79分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局部失衡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在30—60日内完成章程、议事规则和权限矩阵整改。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40—59分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风险较高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启动控制权专项方案，统筹股权、表决、董事会与经营载体。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0—39分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重大风险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优先处理印章账户、董事席位、法定代表人和证据留存。</w:t>
            </w:r>
          </w:p>
        </w:tc>
      </w:tr>
    </w:tbl>
    <w:p>
      <w:r>
        <w:t>本次总分：________ 分    综合风险：□低  □中  □高  □重大</w:t>
      </w:r>
    </w:p>
    <w:p>
      <w:r>
        <w:t>三项最优先整改事项：</w:t>
      </w:r>
    </w:p>
    <w:p>
      <w:r>
        <w:t>1. __________________________________________________________________________________</w:t>
      </w:r>
    </w:p>
    <w:p>
      <w:r>
        <w:t>2. __________________________________________________________________________________</w:t>
      </w:r>
    </w:p>
    <w:p>
      <w:r>
        <w:t>3. __________________________________________________________________________________</w:t>
      </w:r>
    </w:p>
    <w:p>
      <w:r>
        <w:t>建议完成时间：________________    责任人：________________    复核时间：________________</w:t>
      </w:r>
    </w:p>
    <w:p>
      <w:pPr>
        <w:pStyle w:val="Heading1"/>
      </w:pPr>
      <w:r>
        <w:t>七、使用边界与编制依据</w:t>
      </w:r>
    </w:p>
    <w:p>
      <w:r>
        <w:t>本工具用于企业内部自查、首次访谈和项目范围识别，不能替代针对具体企业的法律、财务、税务及交易判断。勾选“是”不当然表示不存在风险；勾选“否”也需要结合文件效力、形成过程和执行情况判断。</w:t>
      </w:r>
    </w:p>
    <w:p>
      <w:r>
        <w:t>编制口径主要参考现行《中华人民共和国公司法》、相关公司法司法解释和《最高人民法院关于民事诉讼证据的若干规定》，并结合企业股权架构、公司治理、股权激励、投融资与股东纠纷的实务场景。</w:t>
      </w:r>
    </w:p>
    <w:p>
      <w:r>
        <w:t>专业提示：股权方案应当做到股东能够理解、企业能够执行、未来能够调整、发生问题时能够处理。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850" w:right="822" w:bottom="765" w:left="822" w:header="340" w:footer="34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Noto Sans CJK SC" w:hAnsi="Noto Sans CJK SC" w:eastAsia="Noto Sans CJK SC"/>
        <w:color w:val="666666"/>
        <w:sz w:val="15"/>
      </w:rPr>
      <w:t>仅供企业自查与项目沟通使用，不构成针对具体事项的正式法律意见。</w:t>
    </w:r>
  </w:p>
  <w:p>
    <w:pPr>
      <w:jc w:val="right"/>
    </w:pPr>
    <w:r>
      <w:rPr>
        <w:rFonts w:ascii="Noto Sans CJK SC" w:hAnsi="Noto Sans CJK SC" w:eastAsia="Noto Sans CJK SC"/>
        <w:color w:val="666666"/>
        <w:sz w:val="16"/>
      </w:rPr>
      <w:t xml:space="preserve">第 </w:t>
      <w:fldChar w:fldCharType="begin"/>
      <w:instrText xml:space="preserve">PAGE</w:instrText>
      <w:fldChar w:fldCharType="end"/>
    </w:r>
    <w:r>
      <w:rPr>
        <w:rFonts w:ascii="Noto Sans CJK SC" w:hAnsi="Noto Sans CJK SC" w:eastAsia="Noto Sans CJK SC"/>
        <w:color w:val="666666"/>
        <w:sz w:val="16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Noto Sans CJK SC" w:hAnsi="Noto Sans CJK SC" w:eastAsia="Noto Sans CJK SC"/>
        <w:color w:val="666666"/>
        <w:sz w:val="16"/>
      </w:rPr>
      <w:t>陈辉律师·企业股权治理    |    公众号：陈律聊股权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80"/>
    </w:pPr>
    <w:rPr>
      <w:rFonts w:ascii="Noto Sans CJK SC" w:hAnsi="Noto Sans CJK SC" w:eastAsia="Noto Sans CJK SC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7324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2F5D7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7324D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Noto Sans CJK SC" w:hAnsi="Noto Sans CJK SC" w:eastAsia="Noto Sans CJK SC"/>
      <w:b/>
      <w:color w:val="17324D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 xmlns:ns1="http://schemas.openxmlformats.org/officeDocument/2006/docPropsVTypes">
  <ns0:Template/>
  <ns0:TotalTime>0</ns0:TotalTime>
  <ns0:Pages>1</ns0:Pages>
  <ns0:Words>0</ns0:Words>
  <ns0:Characters>0</ns0:Characters>
  <ns0:Application>Microsoft Macintosh Word</ns0:Application>
  <ns0:DocSecurity>0</ns0:DocSecurity>
  <ns0:Lines>0</ns0:Lines>
  <ns0:Paragraphs>0</ns0:Paragraphs>
  <ns0:ScaleCrop>false</ns0:ScaleCrop>
  <ns0:HeadingPairs>
    <ns1:vector size="2" baseType="variant">
      <ns1:variant>
        <ns1:lpstr>Title</ns1:lpstr>
      </ns1:variant>
      <ns1:variant>
        <ns1:i4>1</ns1:i4>
      </ns1:variant>
    </ns1:vector>
  </ns0:HeadingPairs>
  <ns0:TitlesOfParts>
    <ns1:vector size="1" baseType="lpstr">
      <ns1:lpstr/>
    </ns1:vector>
  </ns0:TitlesOfParts>
  <ns0:Manager/>
  <ns0:Company/>
  <ns0:LinksUpToDate>false</ns0:LinksUpToDate>
  <ns0:CharactersWithSpaces>0</ns0:CharactersWithSpaces>
  <ns0:SharedDoc>false</ns0:SharedDoc>
  <ns0:HyperlinkBase/>
  <ns0:HyperlinksChanged>false</ns0:HyperlinksChanged>
  <ns0:AppVersion>14.0000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股权治理实务法律工具箱</dc:subject>
  <dc:creator>陈辉律师</dc:creator>
  <cp:keywords>股权治理,公司治理,法律工具</cp:keywords>
  <dc:description/>
  <cp:lastModifiedBy/>
  <cp:revision>1</cp:revision>
  <dcterms:created xsi:type="dcterms:W3CDTF">2013-12-23T23:15:00Z</dcterms:created>
  <dcterms:modified xsi:type="dcterms:W3CDTF">2013-12-23T23:15:00Z</dcterms:modified>
  <cp:category>股权治理法律工具</cp:category>
  <cp:contentStatus>公开工具</cp:contentStatus>
  <dc:identifier/>
  <dc:language>zh-CN</dc:language>
</cp:coreProperties>
</file>