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Microsoft YaHei"/>
          <w:b/>
          <w:color w:val="000000"/>
          <w:sz w:val="40"/>
        </w:rPr>
        <w:t>合伙人进入与退出机制清单</w:t>
      </w:r>
    </w:p>
    <w:p>
      <w:pPr>
        <w:jc w:val="center"/>
      </w:pPr>
      <w:r>
        <w:rPr>
          <w:rFonts w:ascii="Arial" w:hAnsi="Arial" w:eastAsia="Microsoft YaHei"/>
          <w:color w:val="555555"/>
          <w:sz w:val="21"/>
        </w:rPr>
        <w:t>适合创始合伙人、事业合伙人、资金合伙人、门店合伙人、核心骨干持股场景</w:t>
      </w:r>
    </w:p>
    <w:p>
      <w:r>
        <w:rPr>
          <w:rFonts w:ascii="Arial" w:hAnsi="Arial" w:eastAsia="Microsoft YaHei"/>
          <w:b w:val="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5F7FA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r>
              <w:rPr>
                <w:rFonts w:ascii="Arial" w:hAnsi="Arial" w:eastAsia="Microsoft YaHei"/>
                <w:b/>
                <w:color w:val="1F4D78"/>
              </w:rPr>
              <w:t>陈律师提醒</w:t>
            </w:r>
          </w:p>
          <w:p>
            <w:r>
              <w:rPr>
                <w:rFonts w:ascii="Arial" w:hAnsi="Arial" w:eastAsia="Microsoft YaHei"/>
              </w:rPr>
              <w:t>合伙人机制最怕只谈进入、不谈退出。真正成熟的合伙规则，要在关系好的时候把关系变坏时的处理方式写清楚。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一、合伙人进入前，要先问清楚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c>
          <w:tcPr>
            <w:tcW w:type="dxa" w:w="1584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事项</w:t>
            </w:r>
          </w:p>
        </w:tc>
        <w:tc>
          <w:tcPr>
            <w:tcW w:type="dxa" w:w="4608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关键问题</w:t>
            </w:r>
          </w:p>
        </w:tc>
        <w:tc>
          <w:tcPr>
            <w:tcW w:type="dxa" w:w="28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文件建议</w:t>
            </w:r>
          </w:p>
        </w:tc>
      </w:tr>
      <w:tr>
        <w:tc>
          <w:tcPr>
            <w:tcW w:type="dxa" w:w="158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身份定位</w:t>
            </w:r>
          </w:p>
        </w:tc>
        <w:tc>
          <w:tcPr>
            <w:tcW w:type="dxa" w:w="460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对方是创始合伙人、事业合伙人、资金合伙人，还是虚拟合伙人？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合伙协议、股东合作协议</w:t>
            </w:r>
          </w:p>
        </w:tc>
      </w:tr>
      <w:tr>
        <w:tc>
          <w:tcPr>
            <w:tcW w:type="dxa" w:w="158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贡献方式</w:t>
            </w:r>
          </w:p>
        </w:tc>
        <w:tc>
          <w:tcPr>
            <w:tcW w:type="dxa" w:w="460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出钱、出资源、出技术、出管理，分别如何量化？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出资证明、资源承诺书、岗位职责</w:t>
            </w:r>
          </w:p>
        </w:tc>
      </w:tr>
      <w:tr>
        <w:tc>
          <w:tcPr>
            <w:tcW w:type="dxa" w:w="158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权利边界</w:t>
            </w:r>
          </w:p>
        </w:tc>
        <w:tc>
          <w:tcPr>
            <w:tcW w:type="dxa" w:w="460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享有分红权、表决权、知情权，还是只享有项目收益？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股东协议、章程、分红权协议</w:t>
            </w:r>
          </w:p>
        </w:tc>
      </w:tr>
      <w:tr>
        <w:tc>
          <w:tcPr>
            <w:tcW w:type="dxa" w:w="158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进入节奏</w:t>
            </w:r>
          </w:p>
        </w:tc>
        <w:tc>
          <w:tcPr>
            <w:tcW w:type="dxa" w:w="460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一次到位，还是分期成熟、分期授予？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股权成熟条款、服务期条款</w:t>
            </w:r>
          </w:p>
        </w:tc>
      </w:tr>
      <w:tr>
        <w:tc>
          <w:tcPr>
            <w:tcW w:type="dxa" w:w="1584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控制权安排</w:t>
            </w:r>
          </w:p>
        </w:tc>
        <w:tc>
          <w:tcPr>
            <w:tcW w:type="dxa" w:w="460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是否影响创始人控制权、董事会席位和重大事项表决？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一致行动协议、董事提名条款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二、退出机制要写清楚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c>
          <w:tcPr>
            <w:tcW w:type="dxa" w:w="1728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退出情形</w:t>
            </w:r>
          </w:p>
        </w:tc>
        <w:tc>
          <w:tcPr>
            <w:tcW w:type="dxa" w:w="3888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常见风险</w:t>
            </w:r>
          </w:p>
        </w:tc>
        <w:tc>
          <w:tcPr>
            <w:tcW w:type="dxa" w:w="36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建议约定</w:t>
            </w:r>
          </w:p>
        </w:tc>
      </w:tr>
      <w:tr>
        <w:tc>
          <w:tcPr>
            <w:tcW w:type="dxa" w:w="17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主动离职</w:t>
            </w:r>
          </w:p>
        </w:tc>
        <w:tc>
          <w:tcPr>
            <w:tcW w:type="dxa" w:w="38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人走股留，后期不贡献却长期分红。</w:t>
            </w:r>
          </w:p>
        </w:tc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离职触发回购或退出。</w:t>
            </w:r>
          </w:p>
        </w:tc>
      </w:tr>
      <w:tr>
        <w:tc>
          <w:tcPr>
            <w:tcW w:type="dxa" w:w="17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业绩不达标</w:t>
            </w:r>
          </w:p>
        </w:tc>
        <w:tc>
          <w:tcPr>
            <w:tcW w:type="dxa" w:w="38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合伙人承诺资源或业绩没有兑现。</w:t>
            </w:r>
          </w:p>
        </w:tc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设置考核期和股权成熟条件。</w:t>
            </w:r>
          </w:p>
        </w:tc>
      </w:tr>
      <w:tr>
        <w:tc>
          <w:tcPr>
            <w:tcW w:type="dxa" w:w="17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重大过错</w:t>
            </w:r>
          </w:p>
        </w:tc>
        <w:tc>
          <w:tcPr>
            <w:tcW w:type="dxa" w:w="38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泄密、竞业、侵占客户或违反公司制度。</w:t>
            </w:r>
          </w:p>
        </w:tc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低价或无偿回购，约定违约责任。</w:t>
            </w:r>
          </w:p>
        </w:tc>
      </w:tr>
      <w:tr>
        <w:tc>
          <w:tcPr>
            <w:tcW w:type="dxa" w:w="17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理念不合</w:t>
            </w:r>
          </w:p>
        </w:tc>
        <w:tc>
          <w:tcPr>
            <w:tcW w:type="dxa" w:w="38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长期内耗，影响公司经营。</w:t>
            </w:r>
          </w:p>
        </w:tc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设置协商退出、估值公式和支付安排。</w:t>
            </w:r>
          </w:p>
        </w:tc>
      </w:tr>
      <w:tr>
        <w:tc>
          <w:tcPr>
            <w:tcW w:type="dxa" w:w="17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死亡、离婚、继承</w:t>
            </w:r>
          </w:p>
        </w:tc>
        <w:tc>
          <w:tcPr>
            <w:tcW w:type="dxa" w:w="38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股权被配偶或继承人分割，影响公司人合性。</w:t>
            </w:r>
          </w:p>
        </w:tc>
        <w:tc>
          <w:tcPr>
            <w:tcW w:type="dxa" w:w="3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提前约定继承限制、回购权和配偶确认。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三、最容易遗漏的5个条款</w:t>
      </w:r>
    </w:p>
    <w:p>
      <w:pPr>
        <w:pStyle w:val="ListNumber"/>
      </w:pPr>
      <w:r>
        <w:rPr>
          <w:rFonts w:ascii="Arial" w:hAnsi="Arial" w:eastAsia="Microsoft YaHei"/>
        </w:rPr>
        <w:t>股权是否与岗位绑定：离开关键岗位后是否必须退出。</w:t>
      </w:r>
    </w:p>
    <w:p>
      <w:pPr>
        <w:pStyle w:val="ListNumber"/>
      </w:pPr>
      <w:r>
        <w:rPr>
          <w:rFonts w:ascii="Arial" w:hAnsi="Arial" w:eastAsia="Microsoft YaHei"/>
        </w:rPr>
        <w:t>退出价格如何确定：原价、净资产、评估价、约定公式还是分期支付。</w:t>
      </w:r>
    </w:p>
    <w:p>
      <w:pPr>
        <w:pStyle w:val="ListNumber"/>
      </w:pPr>
      <w:r>
        <w:rPr>
          <w:rFonts w:ascii="Arial" w:hAnsi="Arial" w:eastAsia="Microsoft YaHei"/>
        </w:rPr>
        <w:t>表决权和分红权是否分离：尤其是虚拟合伙人和事业合伙人。</w:t>
      </w:r>
    </w:p>
    <w:p>
      <w:pPr>
        <w:pStyle w:val="ListNumber"/>
      </w:pPr>
      <w:r>
        <w:rPr>
          <w:rFonts w:ascii="Arial" w:hAnsi="Arial" w:eastAsia="Microsoft YaHei"/>
        </w:rPr>
        <w:t>是否有竞业限制、保密义务和客户资源归属。</w:t>
      </w:r>
    </w:p>
    <w:p>
      <w:pPr>
        <w:pStyle w:val="ListNumber"/>
      </w:pPr>
      <w:r>
        <w:rPr>
          <w:rFonts w:ascii="Arial" w:hAnsi="Arial" w:eastAsia="Microsoft YaHei"/>
        </w:rPr>
        <w:t>争议解决方式：内部协商、仲裁、诉讼以及文件证据规则。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5F7FA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r>
              <w:rPr>
                <w:rFonts w:ascii="Arial" w:hAnsi="Arial" w:eastAsia="Microsoft YaHei"/>
                <w:b/>
                <w:color w:val="1F4D78"/>
              </w:rPr>
              <w:t>使用提示</w:t>
            </w:r>
          </w:p>
          <w:p>
            <w:r>
              <w:rPr>
                <w:rFonts w:ascii="Arial" w:hAnsi="Arial" w:eastAsia="Microsoft YaHei"/>
              </w:rPr>
              <w:t>本资料用于企业内部初步自查和沟通，不构成针对个案的正式法律、税务或财务意见。具体方案需要结合股东结构、公司章程、历史文件、财务税务资料和企业发展阶段综合判断。</w:t>
            </w:r>
          </w:p>
        </w:tc>
      </w:tr>
    </w:tbl>
    <w:p/>
    <w:p>
      <w:r>
        <w:rPr>
          <w:rFonts w:ascii="Arial" w:hAnsi="Arial" w:eastAsia="Microsoft YaHei"/>
          <w:b/>
          <w:color w:val="1F4D78"/>
        </w:rPr>
        <w:t>如需进一步判断，可联系陈辉律师团队做一次初步沟通。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76" w:lineRule="auto"/>
      <w:contextualSpacing/>
    </w:pPr>
    <w:rPr>
      <w:rFonts w:ascii="Arial" w:hAnsi="Arial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20" w:line="276" w:lineRule="auto"/>
      <w:contextualSpacing/>
    </w:pPr>
    <w:rPr>
      <w:rFonts w:ascii="Arial" w:hAnsi="Arial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