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合伙人五维诊断表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进入—贡献—决策—分钱—退出：把感情信任升级为制度信任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工具编号：EQ-04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用于拟合伙、已合伙或内部事业合伙人团队，对合作机制进行100分诊断。重点不是“每个人占多少股”，而是检查进入资格、持续贡献、决策程序、收益分配和退出路径是否完整。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五个维度各10个问题，共50项。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是=2分，部分=1分，否=0分；每个维度20分，总分100分。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任一维度低于12分，说明该部分可能成为未来主要冲突源。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已经出现躺平、拒绝签字、长期不分红或退股争议时，应同步制作事实时间线和证据清单。</w:t>
      </w:r>
    </w:p>
    <w:p>
      <w:pPr>
        <w:pStyle w:val="Heading1"/>
      </w:pPr>
      <w:r>
        <w:t>三、评分与风险分级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rPr>
          <w:tblHeader w:val="true"/>
        </w:trP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分值/状态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风险等级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机制较完整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通过年度评价、动态调整和文件复核持续运营。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存在制度缺口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优先补齐最低分维度，并同步修订章程和协议。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矛盾概率较高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建议重构权责利和进入退出机制。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合作高度依赖感情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不宜继续扩大股权或引入新合伙人。</w:t>
            </w:r>
          </w:p>
        </w:tc>
      </w:tr>
    </w:tbl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五、诊断清单</w:t>
      </w:r>
    </w:p>
    <w:p>
      <w:r>
        <w:t>评分规则：是=2分，部分=1分，否=0分。本表满分 100 分。</w:t>
      </w:r>
    </w:p>
    <w:p>
      <w:pPr>
        <w:pStyle w:val="Heading2"/>
      </w:pPr>
      <w:r>
        <w:t>第一维：进入</w:t>
      </w:r>
    </w:p>
    <w:p>
      <w:pPr>
        <w:spacing w:after="60"/>
      </w:pPr>
      <w:r>
        <w:t>先判断谁有资格成为合伙人，避免因关系、资源承诺或短期业绩轻易给股。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公司有书面的合伙人资格标准和负面清单。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候选人已通过能力、价值观、诚信和长期合作意愿评估。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已区分全职经营、资金、技术、资源和项目型合伙人。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短期资源合作可以用佣金、分成或项目机制替代永久股权。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进入前有试运行、观察期或里程碑要求。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候选人的出资、技术、资源和岗位责任已完成尽调。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加入需要履行股东或合伙人审批程序。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新合伙人必须签署加入协议、保密、竞业和知识产权文件。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股权取得方式、价格、时间和税费承担明确。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进入后未完成承诺时有取消、调整或回购机制。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第二维：贡献</w:t>
      </w:r>
    </w:p>
    <w:p>
      <w:pPr>
        <w:spacing w:after="60"/>
      </w:pPr>
      <w:r>
        <w:t>把“好好干”转化为时间、标准、程序和后果。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每名合伙人的历史贡献和未来贡献分别列明。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岗位职责、经营目标和关键结果可衡量。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资金出资时间、金额、账户及迟延责任明确。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技术和知识产权的权属、交付、验收和维护责任明确。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客户、渠道和资源承诺有有效业绩及认定标准。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全职、兼职和阶段性投入的区别清楚。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贡献由谁评价、何时评价、依据什么数据已经确定。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未达标、部分达标和超额完成的权益后果明确。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股权分期成熟或动态调整与贡献结果挂钩。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合伙人岗位变化或不再投入时必须重新评估权益。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第三维：决策</w:t>
      </w:r>
    </w:p>
    <w:p>
      <w:pPr>
        <w:spacing w:after="60"/>
      </w:pPr>
      <w:r>
        <w:t>合伙不是所有事情都共同决定，而是明确谁在什么范围内负责。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股东会、董事会和经营层的权限边界清楚。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日常经营事项给予负责人稳定授权。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重大投资、担保、融资、资产处置和关联交易有特别程序。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董事席位、提名权、表决门槛和回避机制明确。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法定代表人、总经理和财务负责人产生及更换规则清楚。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公章、账户、证照和财务系统实行分级控制。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股东和管理层定期获得真实经营和财务信息。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发生重大分歧时有升级沟通和第三方协调机制。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50:50或需要全体一致的事项有僵局解决方案。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决策过程形成会议、决议、授权和执行留痕。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第四维：分钱</w:t>
      </w:r>
    </w:p>
    <w:p>
      <w:pPr>
        <w:spacing w:after="60"/>
      </w:pPr>
      <w:r>
        <w:t>先区分不同收益性质，再确定分配规则。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工资按岗位和劳动支付，不与股东分红混同。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奖金与经营结果和考核挂钩。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项目收益有项目边界、成本口径和结算规则。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股东分红以可分配利润和有效决议为基础。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资金投入需要回报时，已区分利息、优先回报或分红。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利润留存、再投资和现金流安全规则明确。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关联交易、费用报销和股东借款有审批及披露。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亏损、现金流紧张或未完成预算时的分配规则清楚。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财务数据、核算口径和审计权可以验证。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分配争议有复核、审计和决策机制。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第五维：退出</w:t>
      </w:r>
    </w:p>
    <w:p>
      <w:pPr>
        <w:spacing w:after="60"/>
      </w:pPr>
      <w:r>
        <w:t>真正稳定的合伙，必须允许不再适合的人有序离开。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正常退出、违约退出和特殊情形退出已经区分。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离职、躺平、长期不履职或不达标触发退出或调整。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严重违纪、损害公司、泄密或竞业有明确后果。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退出由谁购买股权、购买多少和审批程序明确。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回购价格与成熟状态、离职性质和公司价值相衔接。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付款期限、分期、担保和逾期责任明确。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死亡、失能、离婚、继承、失联和被执行有处理方案。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退出后公章、账户、客户、资料和知识产权需要完成交接。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保密、竞业和客户保护义务在退出后继续有效。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争议解决路径兼顾谈判、交易、公司治理和诉讼。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1"/>
      </w:pPr>
      <w:r>
        <w:t>六、诊断结果与整改优先级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总分区间</w:t>
            </w:r>
          </w:p>
        </w:tc>
        <w:tc>
          <w:tcPr>
            <w:tcW w:type="dxa" w:w="340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诊断结论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机制较完整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年度复盘进入、贡献、决策、分钱和退出。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存在缺口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优先整改最低分维度并形成书面规则。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重构合伙人权责利及股权成熟退出。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重大风险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暂停新增合伙人或扩大股权，先解决历史承诺与文件。</w:t>
            </w:r>
          </w:p>
        </w:tc>
      </w:tr>
    </w:tbl>
    <w:p>
      <w:r>
        <w:t>本次总分：________ 分    综合风险：□低  □中  □高  □重大</w:t>
      </w:r>
    </w:p>
    <w:p>
      <w:r>
        <w:t>三项最优先整改事项：</w:t>
      </w:r>
    </w:p>
    <w:p>
      <w:r>
        <w:t>1. __________________________________________________________________________________</w:t>
      </w:r>
    </w:p>
    <w:p>
      <w:r>
        <w:t>2. __________________________________________________________________________________</w:t>
      </w:r>
    </w:p>
    <w:p>
      <w:r>
        <w:t>3. __________________________________________________________________________________</w:t>
      </w:r>
    </w:p>
    <w:p>
      <w:r>
        <w:t>建议完成时间：________________    责任人：________________    复核时间：________________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