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Noto Serif CJK SC" w:hAnsi="Noto Serif CJK SC" w:eastAsia="Noto Serif CJK SC"/>
          <w:b/>
          <w:color w:val="2F5597"/>
          <w:sz w:val="32"/>
        </w:rPr>
        <w:t>股权法律工具箱</w:t>
      </w:r>
    </w:p>
    <w:p>
      <w:pPr>
        <w:spacing w:before="360"/>
        <w:jc w:val="center"/>
      </w:pPr>
      <w:r>
        <w:rPr>
          <w:rFonts w:ascii="Noto Serif CJK SC" w:hAnsi="Noto Serif CJK SC" w:eastAsia="Noto Serif CJK SC"/>
          <w:b/>
          <w:color w:val="17365D"/>
          <w:sz w:val="50"/>
        </w:rPr>
        <w:t>合伙人资格评估表</w:t>
      </w:r>
    </w:p>
    <w:p>
      <w:pPr>
        <w:spacing w:before="280"/>
        <w:jc w:val="center"/>
      </w:pPr>
      <w:r>
        <w:rPr>
          <w:rFonts w:ascii="Noto Sans CJK SC" w:hAnsi="Noto Sans CJK SC" w:eastAsia="Noto Sans CJK SC"/>
          <w:b w:val="0"/>
          <w:color w:val="666666"/>
          <w:sz w:val="23"/>
        </w:rPr>
        <w:t>先判断“值不值得绑定”，再讨论“给多少股”</w:t>
      </w:r>
    </w:p>
    <w:p>
      <w:pPr>
        <w:spacing w:before="1100"/>
        <w:jc w:val="center"/>
      </w:pPr>
      <w:r>
        <w:rPr>
          <w:rFonts w:ascii="Noto Sans CJK SC" w:hAnsi="Noto Sans CJK SC" w:eastAsia="Noto Sans CJK SC"/>
          <w:b/>
          <w:color w:val="17365D"/>
          <w:sz w:val="22"/>
        </w:rPr>
        <w:t>股权律师陈辉 · 2026版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8221"/>
            <w:shd w:fill="EEF5FB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使用提示：本工具用于发现问题、统一认知和形成项目讨论底稿，不替代针对具体企业的法律、税务、财务及商业判断。重大股权安排应结合公司阶段、股东关系、交易目的和现行规则进行专项设计。</w:t>
            </w:r>
          </w:p>
        </w:tc>
      </w:tr>
    </w:tbl>
    <w:p>
      <w:r>
        <w:br w:type="page"/>
      </w:r>
    </w:p>
    <w:p>
      <w:pPr>
        <w:pStyle w:val="Heading1"/>
      </w:pPr>
      <w:r>
        <w:t>一、工具说明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解决什么问题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帮助老板区分优秀员工、核心骨干、经营合伙人和事业合伙人，避免以短期业绩、离职威胁或个人关系作为给股依据。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适用对象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拟引入合伙人、核心高管、技术负责人、销售负责人、区域负责人及资源型合作方。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使用方法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由至少两名评估人分别打分并写明事实依据；先进行一票否决核验，再计算总分和建议激励工具。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形成的输出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资格等级、风险标签、观察期任务、建议激励工具和进入条件。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使用原则：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先填写事实，再做评分；先识别风险，再讨论比例或条款。无法确认的事项统一标记为“待核实”，不要用主观判断代替证据。</w:t>
            </w:r>
          </w:p>
        </w:tc>
      </w:tr>
    </w:tbl>
    <w:p/>
    <w:p>
      <w:pPr>
        <w:pStyle w:val="Heading1"/>
      </w:pPr>
      <w:r>
        <w:t>二、候选人基本信息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姓名/代号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现任岗位或合作角色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入职/合作时间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拟承担未来角色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本次评估人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评估日期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关键业绩与资源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拟讨论的权益工具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奖金  □ 分红权  □ 虚拟股  □ 期权  □ 实股</w:t>
            </w:r>
          </w:p>
        </w:tc>
      </w:tr>
    </w:tbl>
    <w:p/>
    <w:p>
      <w:pPr>
        <w:pStyle w:val="Heading1"/>
      </w:pPr>
      <w:r>
        <w:t>三、一票否决事项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56"/>
      </w:tblGrid>
      <w:tr>
        <w:trPr>
          <w:tblHeader w:val="true"/>
        </w:trPr>
        <w:tc>
          <w:tcPr>
            <w:tcW w:type="dxa" w:w="9128"/>
            <w:shd w:fill="2F55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检查项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诚信记录存在重大问题或隐瞒利益冲突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价值观与公司长期方向明显冲突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拒绝承担结果责任，只愿享受收益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核心资源或业绩无法核实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存在竞业冲突、侵占公司机会或私单风险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不愿接受退出、成熟和回购机制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短期离职倾向明显或仅以股权作为留任条件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家庭债务、诉讼或合规风险可能影响持股稳定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处理规则：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任一项被确认且无法通过整改、担保或结构安排消除的，原则上不进入实股或长期期权名单。</w:t>
            </w:r>
          </w:p>
        </w:tc>
      </w:tr>
    </w:tbl>
    <w:p/>
    <w:p>
      <w:pPr>
        <w:pStyle w:val="Heading1"/>
      </w:pPr>
      <w:r>
        <w:t>四、100分资格评分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rPr>
          <w:tblHeader w:val="true"/>
        </w:trPr>
        <w:tc>
          <w:tcPr>
            <w:tcW w:type="dxa" w:w="51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8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维度</w:t>
            </w:r>
          </w:p>
        </w:tc>
        <w:tc>
          <w:tcPr>
            <w:tcW w:type="dxa" w:w="3572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评价重点</w:t>
            </w:r>
          </w:p>
        </w:tc>
        <w:tc>
          <w:tcPr>
            <w:tcW w:type="dxa" w:w="73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满分</w:t>
            </w:r>
          </w:p>
        </w:tc>
        <w:tc>
          <w:tcPr>
            <w:tcW w:type="dxa" w:w="85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得分</w:t>
            </w:r>
          </w:p>
        </w:tc>
        <w:tc>
          <w:tcPr>
            <w:tcW w:type="dxa" w:w="187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事实依据</w:t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价值观与诚信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是否长期主义、诚信透明、尊重规则、能处理利益冲突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20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结果能力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是否对经营结果负责，能持续解决关键问题，而非只完成岗位动作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20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3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未来战略价值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未来三至五年是否仍是公司战略所需人才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4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持续投入与担当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投入时间、精力、声誉和机会成本，能否承担逆境责任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5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稀缺性与替代成本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人才、技术、客户、渠道或组织能力是否难以替代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6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组织领导与协同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能否带团队、培养人才、跨部门协作并维护组织信任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1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7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风险与稳定性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离开后是否带走客户、团队、技术或渠道；个人风险是否可控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</w:t>
            </w:r>
          </w:p>
        </w:tc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总分</w:t>
            </w:r>
          </w:p>
        </w:tc>
        <w:tc>
          <w:tcPr>
            <w:tcW w:type="dxa" w:w="226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____ / 100</w:t>
            </w:r>
          </w:p>
        </w:tc>
        <w:tc>
          <w:tcPr>
            <w:tcW w:type="dxa" w:w="141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评估人签字</w:t>
            </w:r>
          </w:p>
        </w:tc>
        <w:tc>
          <w:tcPr>
            <w:tcW w:type="dxa" w:w="4309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复核分</w:t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____ / 100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复核人签字</w:t>
            </w:r>
          </w:p>
        </w:tc>
        <w:tc>
          <w:tcPr>
            <w:tcW w:type="dxa" w:w="430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t>五、分项访谈问题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rPr>
          <w:tblHeader w:val="true"/>
        </w:trPr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维度</w:t>
            </w:r>
          </w:p>
        </w:tc>
        <w:tc>
          <w:tcPr>
            <w:tcW w:type="dxa" w:w="3969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必须问清的问题</w:t>
            </w:r>
          </w:p>
        </w:tc>
        <w:tc>
          <w:tcPr>
            <w:tcW w:type="dxa" w:w="3685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访谈记录</w:t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价值观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遇到公司利益与个人短期利益冲突时，他过去如何选择？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结果责任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他能独立承担哪个可量化结果？失败时是否主动复盘和补救？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未来价值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未来三年公司战略变化后，他仍解决什么关键问题？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长期投入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愿意承诺哪些时间、业绩和机会成本？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稀缺性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替代他需要多久、多少钱、承担什么业务损失？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协同领导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是否能带出团队，而不是让资源只掌握在个人手里？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退出风险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离开后可能带走什么？公司目前有哪些防护和交接机制？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</w:tbl>
    <w:p/>
    <w:p>
      <w:pPr>
        <w:pStyle w:val="Heading1"/>
      </w:pPr>
      <w:r>
        <w:t>六、资格等级与工具匹配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47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等级</w:t>
            </w:r>
          </w:p>
        </w:tc>
        <w:tc>
          <w:tcPr>
            <w:tcW w:type="dxa" w:w="181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判断标准</w:t>
            </w:r>
          </w:p>
        </w:tc>
        <w:tc>
          <w:tcPr>
            <w:tcW w:type="dxa" w:w="226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典型定位</w:t>
            </w:r>
          </w:p>
        </w:tc>
        <w:tc>
          <w:tcPr>
            <w:tcW w:type="dxa" w:w="345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建议工具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A：核心事业合伙人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85—100分，且无一票否决</w:t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承担公司级结果、长期不可替代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可考虑实股、限制性股权或长期期权；必须设置成熟、回购和竞业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B：经营合伙人/核心骨干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70—84分</w:t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承担业务单元或关键岗位结果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优先虚拟股、期权、超额利润分成或项目跟投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C：重点培养对象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55—69分</w:t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具备潜力但贡献或稳定性未验证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奖金、项目分红、观察期目标；暂不授予实股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D：不宜进入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低于55分或触发一票否决</w:t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不具备长期绑定基础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采用岗位薪酬和短期激励；先解决风险问题</w:t>
            </w:r>
          </w:p>
        </w:tc>
      </w:tr>
    </w:tbl>
    <w:p/>
    <w:p>
      <w:pPr>
        <w:pStyle w:val="Heading1"/>
      </w:pPr>
      <w:r>
        <w:t>七、进入前观察期任务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rPr>
          <w:tblHeader w:val="true"/>
        </w:trPr>
        <w:tc>
          <w:tcPr>
            <w:tcW w:type="dxa" w:w="147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任务类别</w:t>
            </w:r>
          </w:p>
        </w:tc>
        <w:tc>
          <w:tcPr>
            <w:tcW w:type="dxa" w:w="255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具体目标</w:t>
            </w:r>
          </w:p>
        </w:tc>
        <w:tc>
          <w:tcPr>
            <w:tcW w:type="dxa" w:w="130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完成期限</w:t>
            </w:r>
          </w:p>
        </w:tc>
        <w:tc>
          <w:tcPr>
            <w:tcW w:type="dxa" w:w="209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验收证据</w:t>
            </w:r>
          </w:p>
        </w:tc>
        <w:tc>
          <w:tcPr>
            <w:tcW w:type="dxa" w:w="164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结果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经营结果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团队建设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客户/渠道转化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制度与流程建设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价值观与协同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风险整改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64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□通过 □延期 □不通过</w:t>
            </w:r>
          </w:p>
        </w:tc>
      </w:tr>
    </w:tbl>
    <w:p/>
    <w:p>
      <w:pPr>
        <w:pStyle w:val="Heading1"/>
      </w:pPr>
      <w:r>
        <w:t>八、最终建议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建议等级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A  □ B  □ C  □ D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建议激励工具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建议权益区间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必须设置的进入条件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必须设置的退出条件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复评时间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最终审批人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/>
    <w:p>
      <w:pPr>
        <w:pStyle w:val="Heading1"/>
      </w:pPr>
      <w:r>
        <w:t>编制依据与使用边界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《中华人民共和国公司法》（2023年修订，自2024年7月1日起施行）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《中华人民共和国民法典》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《中华人民共和国民事诉讼法》（2023年修正）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《最高人民法院关于民事诉讼证据的若干规定》（2019年修正）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其他与公司登记、税务、劳动用工、证券监管及争议解决相关的现行规定。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2F2F2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重要说明：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本文件为通用诊断与项目沟通工具。公司章程、股东协议、激励方案、投资协议和诉讼策略均应结合具体事实审查；涉及登记、税务、外汇、国资、上市公司或特殊行业监管时，应另行核验。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64" w:right="992" w:bottom="879" w:left="992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Noto Sans CJK SC" w:hAnsi="Noto Sans CJK SC" w:eastAsia="Noto Sans CJK SC"/>
        <w:b w:val="0"/>
        <w:color w:val="666666"/>
        <w:sz w:val="16"/>
      </w:rPr>
      <w:t>EQ-03  |  仅供企业自查与项目沟通使用</w:t>
    </w:r>
  </w:p>
  <w:p>
    <w:pPr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b w:val="0"/>
        <w:color w:val="666666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>股权律师陈辉  |  股权法律工具箱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93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Noto Serif CJK SC" w:hAnsi="Noto Serif CJK SC" w:eastAsia="Noto Serif CJK SC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Noto Serif CJK SC" w:hAnsi="Noto Serif CJK SC" w:eastAsia="Noto Serif CJK SC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