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0"/>
        <w:jc w:val="center"/>
      </w:pPr>
      <w:r>
        <w:rPr>
          <w:rFonts w:ascii="Noto Serif CJK SC" w:hAnsi="Noto Serif CJK SC" w:eastAsia="Noto Serif CJK SC"/>
          <w:b/>
          <w:color w:val="2F5597"/>
          <w:sz w:val="32"/>
        </w:rPr>
        <w:t>股权法律工具箱</w:t>
      </w:r>
    </w:p>
    <w:p>
      <w:pPr>
        <w:spacing w:before="360"/>
        <w:jc w:val="center"/>
      </w:pPr>
      <w:r>
        <w:rPr>
          <w:rFonts w:ascii="Noto Serif CJK SC" w:hAnsi="Noto Serif CJK SC" w:eastAsia="Noto Serif CJK SC"/>
          <w:b/>
          <w:color w:val="17365D"/>
          <w:sz w:val="50"/>
        </w:rPr>
        <w:t>创业股权分配测算表</w:t>
      </w:r>
    </w:p>
    <w:p>
      <w:pPr>
        <w:spacing w:before="280"/>
        <w:jc w:val="center"/>
      </w:pPr>
      <w:r>
        <w:rPr>
          <w:rFonts w:ascii="Noto Sans CJK SC" w:hAnsi="Noto Sans CJK SC" w:eastAsia="Noto Sans CJK SC"/>
          <w:b w:val="0"/>
          <w:color w:val="666666"/>
          <w:sz w:val="23"/>
        </w:rPr>
        <w:t>把“谁出多少钱”升级为“谁持续创造什么价值”</w:t>
      </w:r>
    </w:p>
    <w:p>
      <w:pPr>
        <w:spacing w:before="1100"/>
        <w:jc w:val="center"/>
      </w:pPr>
      <w:r>
        <w:rPr>
          <w:rFonts w:ascii="Noto Sans CJK SC" w:hAnsi="Noto Sans CJK SC" w:eastAsia="Noto Sans CJK SC"/>
          <w:b/>
          <w:color w:val="17365D"/>
          <w:sz w:val="22"/>
        </w:rPr>
        <w:t>股权律师陈辉 · 2026版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8221"/>
            <w:shd w:fill="EEF5FB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使用提示：本工具用于发现问题、统一认知和形成项目讨论底稿，不替代针对具体企业的法律、税务、财务及商业判断。重大股权安排应结合公司阶段、股东关系、交易目的和现行规则进行专项设计。</w:t>
            </w:r>
          </w:p>
        </w:tc>
      </w:tr>
    </w:tbl>
    <w:p>
      <w:r>
        <w:br w:type="page"/>
      </w:r>
    </w:p>
    <w:p>
      <w:pPr>
        <w:pStyle w:val="Heading1"/>
      </w:pPr>
      <w:r>
        <w:t>一、工具说明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解决什么问题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帮助创业团队把资金、资源、经营、技术与品牌等不同贡献转化为可讨论、可记录的股权分配依据，并同步设置控制权、预留池和动态调整机制。</w:t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适用对象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2—6名创始股东的初创企业、项目公司、产业合作平台及新设业务主体。</w:t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使用方法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先确定贡献维度和权重，再对每位成员逐项评分；测算结果只形成“初始建议比例”，最终还需经过控制权、激励池、融资和退出机制校正。</w:t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形成的输出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贡献评分表、初始比例、校正比例、动态成熟安排和股权分配风险清单。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5FB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使用原则：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先填写事实，再做评分；先识别风险，再讨论比例或条款。无法确认的事项统一标记为“待核实”，不要用主观判断代替证据。</w:t>
            </w:r>
          </w:p>
        </w:tc>
      </w:tr>
    </w:tbl>
    <w:p/>
    <w:p>
      <w:pPr>
        <w:pStyle w:val="Heading1"/>
      </w:pPr>
      <w:r>
        <w:t>二、企业与团队基本信息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企业/项目名称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拟设主体类型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□ 有限责任公司  □ 合伙企业  □ 其他：</w:t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所处阶段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□ 设立前  □ 产品验证  □ 初步营收  □ 规模增长</w:t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未来三年核心目标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创始团队人数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拟预留激励池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_____%</w:t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拟引入融资时间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本次测算日期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</w:tbl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9"/>
        <w:gridCol w:w="1709"/>
        <w:gridCol w:w="1709"/>
        <w:gridCol w:w="1709"/>
        <w:gridCol w:w="1709"/>
        <w:gridCol w:w="1709"/>
      </w:tblGrid>
      <w:tr>
        <w:trPr>
          <w:tblHeader w:val="true"/>
        </w:trPr>
        <w:tc>
          <w:tcPr>
            <w:tcW w:type="dxa" w:w="1190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成员</w:t>
            </w:r>
          </w:p>
        </w:tc>
        <w:tc>
          <w:tcPr>
            <w:tcW w:type="dxa" w:w="1417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拟任角色</w:t>
            </w:r>
          </w:p>
        </w:tc>
        <w:tc>
          <w:tcPr>
            <w:tcW w:type="dxa" w:w="1360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全职/兼职</w:t>
            </w:r>
          </w:p>
        </w:tc>
        <w:tc>
          <w:tcPr>
            <w:tcW w:type="dxa" w:w="1360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现金投入</w:t>
            </w:r>
          </w:p>
        </w:tc>
        <w:tc>
          <w:tcPr>
            <w:tcW w:type="dxa" w:w="2381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核心资源或能力</w:t>
            </w:r>
          </w:p>
        </w:tc>
        <w:tc>
          <w:tcPr>
            <w:tcW w:type="dxa" w:w="147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预计持续投入年限</w:t>
            </w:r>
          </w:p>
        </w:tc>
      </w:tr>
      <w:tr>
        <w:tc>
          <w:tcPr>
            <w:tcW w:type="dxa" w:w="119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成员1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□全职 □兼职</w:t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</w:tr>
      <w:tr>
        <w:tc>
          <w:tcPr>
            <w:tcW w:type="dxa" w:w="119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成员2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□全职 □兼职</w:t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</w:tr>
      <w:tr>
        <w:tc>
          <w:tcPr>
            <w:tcW w:type="dxa" w:w="119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成员3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□全职 □兼职</w:t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</w:tr>
      <w:tr>
        <w:tc>
          <w:tcPr>
            <w:tcW w:type="dxa" w:w="119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成员4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□全职 □兼职</w:t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</w:tr>
      <w:tr>
        <w:tc>
          <w:tcPr>
            <w:tcW w:type="dxa" w:w="119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成员5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□全职 □兼职</w:t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</w:tr>
      <w:tr>
        <w:tc>
          <w:tcPr>
            <w:tcW w:type="dxa" w:w="119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成员6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□全职 □兼职</w:t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</w:r>
          </w:p>
        </w:tc>
      </w:tr>
    </w:tbl>
    <w:p/>
    <w:p>
      <w:pPr>
        <w:pStyle w:val="Heading1"/>
      </w:pPr>
      <w:r>
        <w:t>三、贡献维度与权重设置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9"/>
        <w:gridCol w:w="1709"/>
        <w:gridCol w:w="1709"/>
        <w:gridCol w:w="1709"/>
        <w:gridCol w:w="1709"/>
        <w:gridCol w:w="1709"/>
      </w:tblGrid>
      <w:tr>
        <w:trPr>
          <w:tblHeader w:val="true"/>
        </w:trPr>
        <w:tc>
          <w:tcPr>
            <w:tcW w:type="dxa" w:w="567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1360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维度</w:t>
            </w:r>
          </w:p>
        </w:tc>
        <w:tc>
          <w:tcPr>
            <w:tcW w:type="dxa" w:w="3572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评价范围</w:t>
            </w:r>
          </w:p>
        </w:tc>
        <w:tc>
          <w:tcPr>
            <w:tcW w:type="dxa" w:w="113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参考权重</w:t>
            </w:r>
          </w:p>
        </w:tc>
        <w:tc>
          <w:tcPr>
            <w:tcW w:type="dxa" w:w="113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本项目权重</w:t>
            </w:r>
          </w:p>
        </w:tc>
        <w:tc>
          <w:tcPr>
            <w:tcW w:type="dxa" w:w="1701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确认理由</w:t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1</w:t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资金投入</w:t>
            </w:r>
          </w:p>
        </w:tc>
        <w:tc>
          <w:tcPr>
            <w:tcW w:type="dxa" w:w="357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实际出资、追加投入能力、资金占用期限、资金风险承担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20%—40%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2</w:t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经营管理</w:t>
            </w:r>
          </w:p>
        </w:tc>
        <w:tc>
          <w:tcPr>
            <w:tcW w:type="dxa" w:w="357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全职投入、战略执行、组织建设、经营结果责任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25%—45%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3</w:t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技术与知识产权</w:t>
            </w:r>
          </w:p>
        </w:tc>
        <w:tc>
          <w:tcPr>
            <w:tcW w:type="dxa" w:w="357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核心技术、研发能力、专利/软件著作权、技术迭代责任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0%—30%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4</w:t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市场与业务资源</w:t>
            </w:r>
          </w:p>
        </w:tc>
        <w:tc>
          <w:tcPr>
            <w:tcW w:type="dxa" w:w="357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客户、渠道、供应链、产业协同、订单转化能力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0%—30%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56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5</w:t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品牌与关键资源</w:t>
            </w:r>
          </w:p>
        </w:tc>
        <w:tc>
          <w:tcPr>
            <w:tcW w:type="dxa" w:w="357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品牌影响力、牌照资质、场地设备、政府/行业资源及稀缺性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0%—20%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5FB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校验规则：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五项权重合计必须为100%。某项权重为0时，应说明该资源并非本项目的关键价值来源。不要为了照顾情绪而平均设置权重。</w:t>
            </w:r>
          </w:p>
        </w:tc>
      </w:tr>
    </w:tbl>
    <w:p/>
    <w:p>
      <w:pPr>
        <w:pStyle w:val="Heading1"/>
      </w:pPr>
      <w:r>
        <w:t>四、评分口径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tblHeader w:val="true"/>
        </w:trPr>
        <w:tc>
          <w:tcPr>
            <w:tcW w:type="dxa" w:w="130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分值</w:t>
            </w:r>
          </w:p>
        </w:tc>
        <w:tc>
          <w:tcPr>
            <w:tcW w:type="dxa" w:w="782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统一口径</w:t>
            </w:r>
          </w:p>
        </w:tc>
      </w:tr>
      <w:tr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0分</w:t>
            </w:r>
          </w:p>
        </w:tc>
        <w:tc>
          <w:tcPr>
            <w:tcW w:type="dxa" w:w="782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无实际贡献或无法验证</w:t>
            </w:r>
          </w:p>
        </w:tc>
      </w:tr>
      <w:tr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2分</w:t>
            </w:r>
          </w:p>
        </w:tc>
        <w:tc>
          <w:tcPr>
            <w:tcW w:type="dxa" w:w="782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贡献较弱，可替代性高</w:t>
            </w:r>
          </w:p>
        </w:tc>
      </w:tr>
      <w:tr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4分</w:t>
            </w:r>
          </w:p>
        </w:tc>
        <w:tc>
          <w:tcPr>
            <w:tcW w:type="dxa" w:w="782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达到基本要求，但非关键</w:t>
            </w:r>
          </w:p>
        </w:tc>
      </w:tr>
      <w:tr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6分</w:t>
            </w:r>
          </w:p>
        </w:tc>
        <w:tc>
          <w:tcPr>
            <w:tcW w:type="dxa" w:w="782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持续产生明显价值</w:t>
            </w:r>
          </w:p>
        </w:tc>
      </w:tr>
      <w:tr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8分</w:t>
            </w:r>
          </w:p>
        </w:tc>
        <w:tc>
          <w:tcPr>
            <w:tcW w:type="dxa" w:w="782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对关键结果具有决定性影响</w:t>
            </w:r>
          </w:p>
        </w:tc>
      </w:tr>
      <w:tr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10分</w:t>
            </w:r>
          </w:p>
        </w:tc>
        <w:tc>
          <w:tcPr>
            <w:tcW w:type="dxa" w:w="782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不可替代，且承担长期结果与主要风险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5FB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评分要求：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每个分值必须写明事实依据，例如出资凭证、客户名单、技术成果、岗位责任、投入时长和业绩目标。仅凭“关系好”“承诺多”“过去帮过忙”不得直接计入高分。</w:t>
            </w:r>
          </w:p>
        </w:tc>
      </w:tr>
    </w:tbl>
    <w:p/>
    <w:p>
      <w:pPr>
        <w:pStyle w:val="Heading1"/>
      </w:pPr>
      <w:r>
        <w:t>五、成员逐项评分表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82"/>
        <w:gridCol w:w="1282"/>
        <w:gridCol w:w="1282"/>
        <w:gridCol w:w="1282"/>
        <w:gridCol w:w="1282"/>
        <w:gridCol w:w="1282"/>
        <w:gridCol w:w="1282"/>
        <w:gridCol w:w="1282"/>
      </w:tblGrid>
      <w:tr>
        <w:trPr>
          <w:tblHeader w:val="true"/>
        </w:trPr>
        <w:tc>
          <w:tcPr>
            <w:tcW w:type="dxa" w:w="113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成员</w:t>
            </w:r>
          </w:p>
        </w:tc>
        <w:tc>
          <w:tcPr>
            <w:tcW w:type="dxa" w:w="963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资金投入</w:t>
              <w:br/>
              <w:t>0-10</w:t>
            </w:r>
          </w:p>
        </w:tc>
        <w:tc>
          <w:tcPr>
            <w:tcW w:type="dxa" w:w="963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经营管理</w:t>
              <w:br/>
              <w:t>0-10</w:t>
            </w:r>
          </w:p>
        </w:tc>
        <w:tc>
          <w:tcPr>
            <w:tcW w:type="dxa" w:w="963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技术/IP</w:t>
              <w:br/>
              <w:t>0-10</w:t>
            </w:r>
          </w:p>
        </w:tc>
        <w:tc>
          <w:tcPr>
            <w:tcW w:type="dxa" w:w="963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市场资源</w:t>
              <w:br/>
              <w:t>0-10</w:t>
            </w:r>
          </w:p>
        </w:tc>
        <w:tc>
          <w:tcPr>
            <w:tcW w:type="dxa" w:w="1077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品牌/关键资源</w:t>
              <w:br/>
              <w:t>0-10</w:t>
            </w:r>
          </w:p>
        </w:tc>
        <w:tc>
          <w:tcPr>
            <w:tcW w:type="dxa" w:w="1020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加权总分</w:t>
            </w:r>
          </w:p>
        </w:tc>
        <w:tc>
          <w:tcPr>
            <w:tcW w:type="dxa" w:w="2268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主要依据</w:t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成员1</w:t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07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成员2</w:t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07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成员3</w:t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07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成员4</w:t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07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成员5</w:t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07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  <w:tr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成员6</w:t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96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07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5FB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计算公式：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成员加权总分＝各维度评分×该维度权重之和。初始建议股权比例＝该成员加权总分÷全体成员加权总分。</w:t>
            </w:r>
          </w:p>
        </w:tc>
      </w:tr>
    </w:tbl>
    <w:p/>
    <w:p>
      <w:pPr>
        <w:pStyle w:val="Heading1"/>
      </w:pPr>
      <w:r>
        <w:t>六、初始比例与四项校正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65"/>
        <w:gridCol w:w="1465"/>
        <w:gridCol w:w="1465"/>
        <w:gridCol w:w="1465"/>
        <w:gridCol w:w="1465"/>
        <w:gridCol w:w="1465"/>
        <w:gridCol w:w="1465"/>
      </w:tblGrid>
      <w:tr>
        <w:trPr>
          <w:tblHeader w:val="true"/>
        </w:trPr>
        <w:tc>
          <w:tcPr>
            <w:tcW w:type="dxa" w:w="1190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成员</w:t>
            </w:r>
          </w:p>
        </w:tc>
        <w:tc>
          <w:tcPr>
            <w:tcW w:type="dxa" w:w="113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加权总分</w:t>
            </w:r>
          </w:p>
        </w:tc>
        <w:tc>
          <w:tcPr>
            <w:tcW w:type="dxa" w:w="1247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初始建议比例</w:t>
            </w:r>
          </w:p>
        </w:tc>
        <w:tc>
          <w:tcPr>
            <w:tcW w:type="dxa" w:w="130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控制权校正</w:t>
            </w:r>
          </w:p>
        </w:tc>
        <w:tc>
          <w:tcPr>
            <w:tcW w:type="dxa" w:w="147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激励池/融资校正</w:t>
            </w:r>
          </w:p>
        </w:tc>
        <w:tc>
          <w:tcPr>
            <w:tcW w:type="dxa" w:w="1417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动态成熟校正</w:t>
            </w:r>
          </w:p>
        </w:tc>
        <w:tc>
          <w:tcPr>
            <w:tcW w:type="dxa" w:w="1360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最终建议比例</w:t>
            </w:r>
          </w:p>
        </w:tc>
      </w:tr>
      <w:tr>
        <w:tc>
          <w:tcPr>
            <w:tcW w:type="dxa" w:w="119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成员1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24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±_____%</w:t>
            </w:r>
          </w:p>
        </w:tc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±_____%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±_____%</w:t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</w:tr>
      <w:tr>
        <w:tc>
          <w:tcPr>
            <w:tcW w:type="dxa" w:w="119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成员2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24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±_____%</w:t>
            </w:r>
          </w:p>
        </w:tc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±_____%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±_____%</w:t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</w:tr>
      <w:tr>
        <w:tc>
          <w:tcPr>
            <w:tcW w:type="dxa" w:w="119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成员3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24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±_____%</w:t>
            </w:r>
          </w:p>
        </w:tc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±_____%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±_____%</w:t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</w:tr>
      <w:tr>
        <w:tc>
          <w:tcPr>
            <w:tcW w:type="dxa" w:w="119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成员4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24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±_____%</w:t>
            </w:r>
          </w:p>
        </w:tc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±_____%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±_____%</w:t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</w:tr>
      <w:tr>
        <w:tc>
          <w:tcPr>
            <w:tcW w:type="dxa" w:w="119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成员5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24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±_____%</w:t>
            </w:r>
          </w:p>
        </w:tc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±_____%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±_____%</w:t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</w:tr>
      <w:tr>
        <w:tc>
          <w:tcPr>
            <w:tcW w:type="dxa" w:w="119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成员6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24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±_____%</w:t>
            </w:r>
          </w:p>
        </w:tc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±_____%</w:t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±_____%</w:t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</w:tr>
      <w:tr>
        <w:tc>
          <w:tcPr>
            <w:tcW w:type="dxa" w:w="119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合计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24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100%</w:t>
            </w:r>
          </w:p>
        </w:tc>
        <w:tc>
          <w:tcPr>
            <w:tcW w:type="dxa" w:w="130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47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4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36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100%</w:t>
            </w:r>
          </w:p>
        </w:tc>
      </w:tr>
    </w:tbl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tblHeader w:val="true"/>
        </w:trPr>
        <w:tc>
          <w:tcPr>
            <w:tcW w:type="dxa" w:w="181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校正项目</w:t>
            </w:r>
          </w:p>
        </w:tc>
        <w:tc>
          <w:tcPr>
            <w:tcW w:type="dxa" w:w="731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必须讨论的问题</w:t>
            </w:r>
          </w:p>
        </w:tc>
      </w:tr>
      <w:tr>
        <w:tc>
          <w:tcPr>
            <w:tcW w:type="dxa" w:w="18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控制权校正</w:t>
            </w:r>
          </w:p>
        </w:tc>
        <w:tc>
          <w:tcPr>
            <w:tcW w:type="dxa" w:w="73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创始负责人是否需要稳定控制股东会、董事会和经营决策；是否存在平均分股或一票否决导致僵局。</w:t>
            </w:r>
          </w:p>
        </w:tc>
      </w:tr>
      <w:tr>
        <w:tc>
          <w:tcPr>
            <w:tcW w:type="dxa" w:w="18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激励池校正</w:t>
            </w:r>
          </w:p>
        </w:tc>
        <w:tc>
          <w:tcPr>
            <w:tcW w:type="dxa" w:w="73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是否在创始股东持股之外预留员工激励池；激励池由谁承担稀释。</w:t>
            </w:r>
          </w:p>
        </w:tc>
      </w:tr>
      <w:tr>
        <w:tc>
          <w:tcPr>
            <w:tcW w:type="dxa" w:w="18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融资校正</w:t>
            </w:r>
          </w:p>
        </w:tc>
        <w:tc>
          <w:tcPr>
            <w:tcW w:type="dxa" w:w="73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融资前后创始团队是否仍具备必要的表决权和治理席位。</w:t>
            </w:r>
          </w:p>
        </w:tc>
      </w:tr>
      <w:tr>
        <w:tc>
          <w:tcPr>
            <w:tcW w:type="dxa" w:w="18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动态成熟校正</w:t>
            </w:r>
          </w:p>
        </w:tc>
        <w:tc>
          <w:tcPr>
            <w:tcW w:type="dxa" w:w="73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未来贡献尚未完成的股权，是否分期成熟、附业绩条件或设置回购安排。</w:t>
            </w:r>
          </w:p>
        </w:tc>
      </w:tr>
    </w:tbl>
    <w:p/>
    <w:p>
      <w:pPr>
        <w:pStyle w:val="Heading1"/>
      </w:pPr>
      <w:r>
        <w:t>七、动态股权成熟安排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65"/>
        <w:gridCol w:w="1465"/>
        <w:gridCol w:w="1465"/>
        <w:gridCol w:w="1465"/>
        <w:gridCol w:w="1465"/>
        <w:gridCol w:w="1465"/>
        <w:gridCol w:w="1465"/>
      </w:tblGrid>
      <w:tr>
        <w:trPr>
          <w:tblHeader w:val="true"/>
        </w:trPr>
        <w:tc>
          <w:tcPr>
            <w:tcW w:type="dxa" w:w="1020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成员</w:t>
            </w:r>
          </w:p>
        </w:tc>
        <w:tc>
          <w:tcPr>
            <w:tcW w:type="dxa" w:w="1077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拟授予比例</w:t>
            </w:r>
          </w:p>
        </w:tc>
        <w:tc>
          <w:tcPr>
            <w:tcW w:type="dxa" w:w="1020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成熟周期</w:t>
            </w:r>
          </w:p>
        </w:tc>
        <w:tc>
          <w:tcPr>
            <w:tcW w:type="dxa" w:w="1190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首期观察期</w:t>
            </w:r>
          </w:p>
        </w:tc>
        <w:tc>
          <w:tcPr>
            <w:tcW w:type="dxa" w:w="1134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年度成熟比例</w:t>
            </w:r>
          </w:p>
        </w:tc>
        <w:tc>
          <w:tcPr>
            <w:tcW w:type="dxa" w:w="2097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业绩/贡献条件</w:t>
            </w:r>
          </w:p>
        </w:tc>
        <w:tc>
          <w:tcPr>
            <w:tcW w:type="dxa" w:w="1587"/>
            <w:shd w:fill="17365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未成熟部分处理</w:t>
            </w:r>
          </w:p>
        </w:tc>
      </w:tr>
      <w:tr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成员1</w:t>
            </w:r>
          </w:p>
        </w:tc>
        <w:tc>
          <w:tcPr>
            <w:tcW w:type="dxa" w:w="107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____年</w:t>
            </w:r>
          </w:p>
        </w:tc>
        <w:tc>
          <w:tcPr>
            <w:tcW w:type="dxa" w:w="119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____个月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209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□不授予 □回购 □调整</w:t>
            </w:r>
          </w:p>
        </w:tc>
      </w:tr>
      <w:tr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成员2</w:t>
            </w:r>
          </w:p>
        </w:tc>
        <w:tc>
          <w:tcPr>
            <w:tcW w:type="dxa" w:w="107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____年</w:t>
            </w:r>
          </w:p>
        </w:tc>
        <w:tc>
          <w:tcPr>
            <w:tcW w:type="dxa" w:w="119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____个月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209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□不授予 □回购 □调整</w:t>
            </w:r>
          </w:p>
        </w:tc>
      </w:tr>
      <w:tr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成员3</w:t>
            </w:r>
          </w:p>
        </w:tc>
        <w:tc>
          <w:tcPr>
            <w:tcW w:type="dxa" w:w="107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____年</w:t>
            </w:r>
          </w:p>
        </w:tc>
        <w:tc>
          <w:tcPr>
            <w:tcW w:type="dxa" w:w="119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____个月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209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□不授予 □回购 □调整</w:t>
            </w:r>
          </w:p>
        </w:tc>
      </w:tr>
      <w:tr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成员4</w:t>
            </w:r>
          </w:p>
        </w:tc>
        <w:tc>
          <w:tcPr>
            <w:tcW w:type="dxa" w:w="107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____年</w:t>
            </w:r>
          </w:p>
        </w:tc>
        <w:tc>
          <w:tcPr>
            <w:tcW w:type="dxa" w:w="119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____个月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209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□不授予 □回购 □调整</w:t>
            </w:r>
          </w:p>
        </w:tc>
      </w:tr>
      <w:tr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成员5</w:t>
            </w:r>
          </w:p>
        </w:tc>
        <w:tc>
          <w:tcPr>
            <w:tcW w:type="dxa" w:w="107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____年</w:t>
            </w:r>
          </w:p>
        </w:tc>
        <w:tc>
          <w:tcPr>
            <w:tcW w:type="dxa" w:w="119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____个月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209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□不授予 □回购 □调整</w:t>
            </w:r>
          </w:p>
        </w:tc>
      </w:tr>
      <w:tr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成员6</w:t>
            </w:r>
          </w:p>
        </w:tc>
        <w:tc>
          <w:tcPr>
            <w:tcW w:type="dxa" w:w="107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102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____年</w:t>
            </w:r>
          </w:p>
        </w:tc>
        <w:tc>
          <w:tcPr>
            <w:tcW w:type="dxa" w:w="1190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____个月</w:t>
            </w:r>
          </w:p>
        </w:tc>
        <w:tc>
          <w:tcPr>
            <w:tcW w:type="dxa" w:w="113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_____%</w:t>
            </w:r>
          </w:p>
        </w:tc>
        <w:tc>
          <w:tcPr>
            <w:tcW w:type="dxa" w:w="209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</w:r>
          </w:p>
        </w:tc>
        <w:tc>
          <w:tcPr>
            <w:tcW w:type="dxa" w:w="158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6"/>
              </w:rPr>
              <w:t>□不授予 □回购 □调整</w:t>
            </w:r>
          </w:p>
        </w:tc>
      </w:tr>
    </w:tbl>
    <w:p/>
    <w:p>
      <w:pPr>
        <w:pStyle w:val="Heading1"/>
      </w:pPr>
      <w:r>
        <w:t>八、风险自查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tblHeader w:val="true"/>
        </w:trPr>
        <w:tc>
          <w:tcPr>
            <w:tcW w:type="dxa" w:w="4564"/>
            <w:shd w:fill="2F559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检查项</w:t>
            </w:r>
          </w:p>
        </w:tc>
        <w:tc>
          <w:tcPr>
            <w:tcW w:type="dxa" w:w="4564"/>
            <w:shd w:fill="2F559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  <w:jc w:val="center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检查项</w:t>
            </w:r>
          </w:p>
        </w:tc>
      </w:tr>
      <w:tr>
        <w:tc>
          <w:tcPr>
            <w:tcW w:type="dxa" w:w="456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是否存在50:50或多人平均分股</w:t>
            </w:r>
          </w:p>
        </w:tc>
        <w:tc>
          <w:tcPr>
            <w:tcW w:type="dxa" w:w="456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是否把一次性资源贡献永久折算为高比例股权</w:t>
            </w:r>
          </w:p>
        </w:tc>
      </w:tr>
      <w:tr>
        <w:tc>
          <w:tcPr>
            <w:tcW w:type="dxa" w:w="456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兼职股东是否获得与全职经营者相近比例</w:t>
            </w:r>
          </w:p>
        </w:tc>
        <w:tc>
          <w:tcPr>
            <w:tcW w:type="dxa" w:w="456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未来贡献未设置成熟或调整条件</w:t>
            </w:r>
          </w:p>
        </w:tc>
      </w:tr>
      <w:tr>
        <w:tc>
          <w:tcPr>
            <w:tcW w:type="dxa" w:w="456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技术、客户或品牌资源无法验证或无法合法投入</w:t>
            </w:r>
          </w:p>
        </w:tc>
        <w:tc>
          <w:tcPr>
            <w:tcW w:type="dxa" w:w="456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未预留员工激励池</w:t>
            </w:r>
          </w:p>
        </w:tc>
      </w:tr>
      <w:tr>
        <w:tc>
          <w:tcPr>
            <w:tcW w:type="dxa" w:w="456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未考虑下一轮融资稀释</w:t>
            </w:r>
          </w:p>
        </w:tc>
        <w:tc>
          <w:tcPr>
            <w:tcW w:type="dxa" w:w="456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关键股东离职、失联或不履职时无法退出</w:t>
            </w:r>
          </w:p>
        </w:tc>
      </w:tr>
      <w:tr>
        <w:tc>
          <w:tcPr>
            <w:tcW w:type="dxa" w:w="456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股权比例与董事会、法定代表人、印章和财务控制未联动</w:t>
            </w:r>
          </w:p>
        </w:tc>
        <w:tc>
          <w:tcPr>
            <w:tcW w:type="dxa" w:w="456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股权分配结果未同步写入协议、章程和登记文件</w:t>
            </w:r>
          </w:p>
        </w:tc>
      </w:tr>
      <w:tr>
        <w:tc>
          <w:tcPr>
            <w:tcW w:type="dxa" w:w="456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股东配偶、继承和债务风险未安排</w:t>
            </w:r>
          </w:p>
        </w:tc>
        <w:tc>
          <w:tcPr>
            <w:tcW w:type="dxa" w:w="456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8"/>
              </w:rPr>
              <w:t>□ 税务成本、出资期限和非货币出资程序未核验</w:t>
            </w:r>
          </w:p>
        </w:tc>
      </w:tr>
    </w:tbl>
    <w:p/>
    <w:p>
      <w:pPr>
        <w:pStyle w:val="Heading1"/>
      </w:pPr>
      <w:r>
        <w:t>九、最终结论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建议方案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必须先解决的三个问题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1.</w:t>
              <w:br/>
              <w:t>2.</w:t>
              <w:br/>
              <w:t>3.</w:t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需补充的证据或资料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下一步文件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  <w:t>□ 股东协议  □ 公司章程  □ 出资安排  □ 股权成熟/回购协议  □ 激励池方案</w:t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参与确认人员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  <w:tr>
        <w:tc>
          <w:tcPr>
            <w:tcW w:type="dxa" w:w="1757"/>
            <w:shd w:fill="D9EAF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确认日期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Noto Sans CJK SC" w:hAnsi="Noto Sans CJK SC" w:eastAsia="Noto Sans CJK SC"/>
                <w:b w:val="0"/>
                <w:sz w:val="19"/>
              </w:rPr>
            </w:r>
          </w:p>
        </w:tc>
      </w:tr>
    </w:tbl>
    <w:p/>
    <w:p>
      <w:pPr>
        <w:pStyle w:val="Heading1"/>
      </w:pPr>
      <w:r>
        <w:t>编制依据与使用边界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18"/>
        </w:rPr>
        <w:t>《中华人民共和国公司法》（2023年修订，自2024年7月1日起施行）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18"/>
        </w:rPr>
        <w:t>《中华人民共和国民法典》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18"/>
        </w:rPr>
        <w:t>《中华人民共和国民事诉讼法》（2023年修正）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18"/>
        </w:rPr>
        <w:t>《最高人民法院关于民事诉讼证据的若干规定》（2019年修正）</w:t>
      </w:r>
    </w:p>
    <w:p>
      <w:pPr>
        <w:pStyle w:val="ListBullet"/>
      </w:pPr>
      <w:r>
        <w:rPr>
          <w:rFonts w:ascii="Noto Sans CJK SC" w:hAnsi="Noto Sans CJK SC" w:eastAsia="Noto Sans CJK SC"/>
          <w:b w:val="0"/>
          <w:sz w:val="18"/>
        </w:rPr>
        <w:t>其他与公司登记、税务、劳动用工、证券监管及争议解决相关的现行规定。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F2F2F2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17365D"/>
                <w:sz w:val="19"/>
              </w:rPr>
              <w:t>重要说明：</w:t>
            </w:r>
            <w:r>
              <w:rPr>
                <w:rFonts w:ascii="Noto Sans CJK SC" w:hAnsi="Noto Sans CJK SC" w:eastAsia="Noto Sans CJK SC"/>
                <w:b w:val="0"/>
                <w:sz w:val="19"/>
              </w:rPr>
              <w:t>本文件为通用诊断与项目沟通工具。公司章程、股东协议、激励方案、投资协议和诉讼策略均应结合具体事实审查；涉及登记、税务、外汇、国资、上市公司或特殊行业监管时，应另行核验。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64" w:right="992" w:bottom="879" w:left="992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Noto Sans CJK SC" w:hAnsi="Noto Sans CJK SC" w:eastAsia="Noto Sans CJK SC"/>
        <w:b w:val="0"/>
        <w:color w:val="666666"/>
        <w:sz w:val="16"/>
      </w:rPr>
      <w:t>EQ-01  |  仅供企业自查与项目沟通使用</w:t>
    </w:r>
  </w:p>
  <w:p>
    <w:pPr>
      <w:jc w:val="right"/>
    </w:pPr>
    <w:r>
      <w:rPr>
        <w:rFonts w:ascii="Noto Sans CJK SC" w:hAnsi="Noto Sans CJK SC" w:eastAsia="Noto Sans CJK SC"/>
        <w:b w:val="0"/>
        <w:color w:val="666666"/>
        <w:sz w:val="17"/>
      </w:rPr>
      <w:t xml:space="preserve">第 </w:t>
      <w:fldChar w:fldCharType="begin"/>
      <w:instrText xml:space="preserve">PAGE</w:instrText>
      <w:fldChar w:fldCharType="end"/>
    </w:r>
    <w:r>
      <w:rPr>
        <w:rFonts w:ascii="Noto Sans CJK SC" w:hAnsi="Noto Sans CJK SC" w:eastAsia="Noto Sans CJK SC"/>
        <w:b w:val="0"/>
        <w:color w:val="666666"/>
        <w:sz w:val="17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Noto Sans CJK SC" w:hAnsi="Noto Sans CJK SC" w:eastAsia="Noto Sans CJK SC"/>
        <w:b w:val="0"/>
        <w:color w:val="666666"/>
        <w:sz w:val="17"/>
      </w:rPr>
      <w:t>股权律师陈辉  |  股权法律工具箱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93" w:lineRule="auto"/>
    </w:pPr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Noto Serif CJK SC" w:hAnsi="Noto Serif CJK SC" w:eastAsia="Noto Serif CJK SC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2F5597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8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7365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40"/>
      <w:contextualSpacing/>
    </w:pPr>
    <w:rPr>
      <w:rFonts w:asciiTheme="majorHAnsi" w:eastAsiaTheme="majorEastAsia" w:hAnsiTheme="majorHAnsi" w:cstheme="majorBidi" w:ascii="Noto Serif CJK SC" w:hAnsi="Noto Serif CJK SC" w:eastAsia="Noto Serif CJK SC"/>
      <w:b/>
      <w:color w:val="17365D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/>
  <ns0:TotalTime>0</ns0:TotalTime>
  <ns0:Pages>1</ns0:Pages>
  <ns0:Words>0</ns0:Words>
  <ns0:Characters>0</ns0:Characters>
  <ns0:Application>Microsoft Macintosh Word</ns0:Application>
  <ns0:DocSecurity>0</ns0:DocSecurity>
  <ns0:Lines>0</ns0:Lines>
  <ns0:Paragraphs>0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0</ns0:CharactersWithSpaces>
  <ns0:SharedDoc>false</ns0:SharedDoc>
  <ns0:HyperlinkBase/>
  <ns0:HyperlinksChanged>false</ns0:HyperlinksChanged>
  <ns0:AppVersion>14.0000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股权治理实务法律工具箱</dc:subject>
  <dc:creator>陈辉律师</dc:creator>
  <cp:keywords>股权治理,公司治理,法律工具</cp:keywords>
  <dc:description/>
  <cp:lastModifiedBy/>
  <cp:revision>1</cp:revision>
  <dcterms:created xsi:type="dcterms:W3CDTF">2013-12-23T23:15:00Z</dcterms:created>
  <dcterms:modified xsi:type="dcterms:W3CDTF">2013-12-23T23:15:00Z</dcterms:modified>
  <cp:category>股权治理法律工具</cp:category>
  <cp:contentStatus>公开工具</cp:contentStatus>
  <dc:identifier/>
  <dc:language>zh-CN</dc:language>
</cp:coreProperties>
</file>