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创业公司股权架构自查表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从“怎么分”到“怎么控、怎么激励、怎么融资、怎么退出”的100分诊断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工具编号：EQ-01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帮助创业公司、创始股东和拟合伙团队系统检查股东资格、贡献评价、比例、控制权、激励预留、融资承接和退出机制，发现“今天看不见、未来会爆发”的结构性风险。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逐项选择“是、部分、否”，并在备注栏写明现有文件或事实依据。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“是”得2分，“部分”得1分，“否”得0分；不建议仅凭口头承诺判定为“是”。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任何涉及平均分股、50:50、股权一次性给完、无退出机制或历史代持的项目，应列入优先整改。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完成后由创始人、财务负责人和法律顾问共同复核。</w:t>
      </w:r>
    </w:p>
    <w:p>
      <w:pPr>
        <w:pStyle w:val="Heading1"/>
      </w:pPr>
      <w:r>
        <w:t>三、评分与风险分级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rPr>
          <w:tblHeader w:val="true"/>
        </w:trP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分值/状态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风险等级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基础较稳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可以围绕融资、激励或集团化目标进行专项优化。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存在缺口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建议在下一次增资、激励或股东变化前完成重点整改。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应尽快开展股权架构专项诊断并同步修订章程、协议。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重大风险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不宜继续新增股东、直接激励或融资，应先完成结构与文件重构。</w:t>
            </w:r>
          </w:p>
        </w:tc>
      </w:tr>
    </w:tbl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五、诊断清单</w:t>
      </w:r>
    </w:p>
    <w:p>
      <w:r>
        <w:t>评分规则：是=2分，部分=1分，否=0分。本表满分 100 分。</w:t>
      </w:r>
    </w:p>
    <w:p>
      <w:pPr>
        <w:pStyle w:val="Heading2"/>
      </w:pPr>
      <w:r>
        <w:t>1. 股东资格与角色定位</w:t>
      </w:r>
    </w:p>
    <w:p>
      <w:pPr>
        <w:spacing w:after="60"/>
      </w:pPr>
      <w:r>
        <w:t>判断“谁应当成为股东”，避免把短期合作对象永久写入股权结构。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已区分创始股东、经营股东、技术股东、资源股东、财务投资人和激励对象。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每名股东成为股东的长期理由已经书面说明，而非仅基于关系或一次性帮助。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不适合直接持股的人员已考虑奖金、分红、项目收益或虚拟权益等替代工具。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新股东进入需要满足明确资格并履行审批、尽调和加入协议程序。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股东身份与其岗位、责任、持续服务义务能够相互匹配。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2. 历史贡献与未来贡献</w:t>
      </w:r>
    </w:p>
    <w:p>
      <w:pPr>
        <w:spacing w:after="60"/>
      </w:pPr>
      <w:r>
        <w:t>股权不是只奖励过去，还要绑定未来持续贡献。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已分别列明每名股东的现金、技术、资源、品牌、管理和风险承担。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已区分历史贡献与未来承诺，并设置不同权重。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技术、客户、渠道等非现金贡献有可验证的交付标准。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全职、兼职及阶段性投入的差异已体现在比例或权益条件中。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贡献未完成、迟延或明显低于承诺时有权益调整机制。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3. 股权比例与利益分配</w:t>
      </w:r>
    </w:p>
    <w:p>
      <w:pPr>
        <w:spacing w:after="60"/>
      </w:pPr>
      <w:r>
        <w:t>比例既影响分红，也影响表决、融资稀释和退出价格。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股权比例有可解释的测算依据，而不是平均分或临时讨价还价。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已测算不同持股方案对表决权、董事席位和利润分配的影响。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工资、奖金、项目收益、资金回报和股东分红已经区分。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未把“出资多”简单等同于“经营贡献大”或“必须控制公司”。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股权比例已经预留未来调整、激励和融资空间。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4. 创始人控制与治理结构</w:t>
      </w:r>
    </w:p>
    <w:p>
      <w:pPr>
        <w:spacing w:after="60"/>
      </w:pPr>
      <w:r>
        <w:t>控制权是股权、表决、董事会、经营管理和关键载体的组合。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已识别实际控制人并明确其控制权来源。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股东会普通事项、重大事项和特别保留事项的门槛清晰。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董事会人数、席位、提名权和董事长产生方式已经设计。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总经理、财务负责人及关键岗位的任免与授权边界明确。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法定代表人、印章、账户、证照和经营数据有分级管理制度。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5. 股权成熟与动态调整</w:t>
      </w:r>
    </w:p>
    <w:p>
      <w:pPr>
        <w:spacing w:after="60"/>
      </w:pPr>
      <w:r>
        <w:t>未来贡献型股权宜分期成熟，并与持续服务和结果挂钩。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未来贡献型股权设置了服务期或分期成熟安排。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成熟条件同时考虑时间、岗位、业绩或具体交付成果。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未成熟股权在离职、违约或未达标时有明确处理规则。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岗位变化、贡献下降或责任调整时可以依法、依约调整权益。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成熟台账、股东名册和实际登记能够保持一致或有明确衔接。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6. 激励池与持股平台</w:t>
      </w:r>
    </w:p>
    <w:p>
      <w:pPr>
        <w:spacing w:after="60"/>
      </w:pPr>
      <w:r>
        <w:t>激励工具应服务人才战略，不应简单把员工变成工商股东。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已根据未来三至五年人才规划预留合理激励池。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激励池来源及对现有股东的稀释承担已经明确。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已判断直接持股、有限合伙平台、期权或虚拟股的适用边界。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持股平台的GP控制、收益分配、人员进入和退出规则清楚。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激励对象离职、违纪、竞业或业绩不达标时权益可处理。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7. 融资与资本路径</w:t>
      </w:r>
    </w:p>
    <w:p>
      <w:pPr>
        <w:spacing w:after="60"/>
      </w:pPr>
      <w:r>
        <w:t>股权架构应承接未来融资，而不是每融资一次就推倒重来。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已测算一轮及多轮融资后的持股比例和控制权变化。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融资主体、控股主体和核心业务主体的关系清晰。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历史代持、出资瑕疵、关联交易和知识产权归属已提前清理。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已为投资人董事席位、优先权及信息权预留合理治理接口。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融资后创始人、原股东、员工平台和投资人的权利边界可落地。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8. 集团架构与风险隔离</w:t>
      </w:r>
    </w:p>
    <w:p>
      <w:pPr>
        <w:spacing w:after="60"/>
      </w:pPr>
      <w:r>
        <w:t>不同业务、资产和风险宜配置在合适主体中。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控股主体、经营主体、项目主体和高风险主体已合理区分。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核心知识产权、品牌、客户合同和经营资质归属清楚。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母子公司之间的投资、授权、交易和资金往来有制度依据。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不同业务板块的股东和激励安排不会相互干扰。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架构能够兼顾融资、并购、上市培育或家族传承需要。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9. 股东进入与退出</w:t>
      </w:r>
    </w:p>
    <w:p>
      <w:pPr>
        <w:spacing w:after="60"/>
      </w:pPr>
      <w:r>
        <w:t>进入有门槛，退出有路径，才能避免股权固化。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增资、股权转让和新股东加入的审批、定价及文件程序明确。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原股东优先认购、优先购买及放弃程序具有可执行性。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正常退出、违约退出、死亡、失能、离婚和被执行情形均有安排。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回购主体、回购范围、价格公式、支付期限和违约责任明确。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退出后的保密、竞业、客户保护和资料交接义务清晰。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10. 文件落地与持续管理</w:t>
      </w:r>
    </w:p>
    <w:p>
      <w:pPr>
        <w:spacing w:after="60"/>
      </w:pPr>
      <w:r>
        <w:t>架构图只是结果，章程、协议、决议和台账才是执行通道。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公司章程与股东协议在表决、转让、退出和分红规则上相互衔接。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股东出资、技术交付、知识产权转让等文件完整留痕。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持股平台、激励、回购和一致行动等配套协议齐全。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工商登记、股东名册、内部台账和实际权益没有长期冲突。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公司在融资、股东变化或重大业务调整时会定期复核股权架构。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1"/>
      </w:pPr>
      <w:r>
        <w:t>六、诊断结果与整改优先级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总分区间</w:t>
            </w:r>
          </w:p>
        </w:tc>
        <w:tc>
          <w:tcPr>
            <w:tcW w:type="dxa" w:w="340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诊断结论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80—100分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基础较稳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保持年度复核，并围绕融资、激励和退出做压力测试。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60—79分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存在缺口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列出前三项整改任务，在股东或资本变化前完成。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40—59分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启动专项诊断，形成目标架构、实施路径及文件包。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0—39分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重大风险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暂停新增股东、融资或实股激励，先处理代持、出资、控制和退出。</w:t>
            </w:r>
          </w:p>
        </w:tc>
      </w:tr>
    </w:tbl>
    <w:p>
      <w:r>
        <w:t>本次总分：________ 分    综合风险：□低  □中  □高  □重大</w:t>
      </w:r>
    </w:p>
    <w:p>
      <w:r>
        <w:t>三项最优先整改事项：</w:t>
      </w:r>
    </w:p>
    <w:p>
      <w:r>
        <w:t>1. __________________________________________________________________________________</w:t>
      </w:r>
    </w:p>
    <w:p>
      <w:r>
        <w:t>2. __________________________________________________________________________________</w:t>
      </w:r>
    </w:p>
    <w:p>
      <w:r>
        <w:t>3. __________________________________________________________________________________</w:t>
      </w:r>
    </w:p>
    <w:p>
      <w:r>
        <w:t>建议完成时间：________________    责任人：________________    复核时间：________________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